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ECB37">
      <w:pPr>
        <w:pStyle w:val="5"/>
        <w:spacing w:line="272" w:lineRule="auto"/>
      </w:pPr>
    </w:p>
    <w:p w14:paraId="7DFCA75F">
      <w:pPr>
        <w:pStyle w:val="5"/>
        <w:spacing w:line="273" w:lineRule="auto"/>
      </w:pPr>
    </w:p>
    <w:p w14:paraId="26777414">
      <w:pPr>
        <w:pStyle w:val="5"/>
        <w:spacing w:line="273" w:lineRule="auto"/>
      </w:pPr>
    </w:p>
    <w:p w14:paraId="383975A4">
      <w:pPr>
        <w:pStyle w:val="5"/>
        <w:spacing w:line="273" w:lineRule="auto"/>
      </w:pPr>
    </w:p>
    <w:p w14:paraId="0CB20431">
      <w:pPr>
        <w:keepNext w:val="0"/>
        <w:keepLines w:val="0"/>
        <w:pageBreakBefore w:val="0"/>
        <w:widowControl/>
        <w:kinsoku w:val="0"/>
        <w:wordWrap/>
        <w:overflowPunct/>
        <w:topLinePunct w:val="0"/>
        <w:autoSpaceDE w:val="0"/>
        <w:autoSpaceDN w:val="0"/>
        <w:bidi w:val="0"/>
        <w:adjustRightInd w:val="0"/>
        <w:snapToGrid w:val="0"/>
        <w:spacing w:line="372" w:lineRule="auto"/>
        <w:ind w:left="737" w:right="0" w:hanging="737"/>
        <w:jc w:val="center"/>
        <w:textAlignment w:val="baseline"/>
        <w:outlineLvl w:val="0"/>
        <w:rPr>
          <w:rFonts w:hint="eastAsia" w:ascii="宋体" w:hAnsi="宋体" w:eastAsia="宋体" w:cs="宋体"/>
          <w:b/>
          <w:bCs/>
          <w:spacing w:val="-7"/>
          <w:sz w:val="48"/>
          <w:szCs w:val="48"/>
          <w:lang w:val="en-US" w:eastAsia="zh-CN"/>
        </w:rPr>
      </w:pPr>
      <w:r>
        <w:rPr>
          <w:rFonts w:ascii="宋体" w:hAnsi="宋体" w:eastAsia="宋体" w:cs="宋体"/>
          <w:b/>
          <w:bCs/>
          <w:spacing w:val="-7"/>
          <w:sz w:val="48"/>
          <w:szCs w:val="48"/>
        </w:rPr>
        <w:t>山东济钢环保新材料有限</w:t>
      </w:r>
      <w:r>
        <w:rPr>
          <w:rFonts w:hint="eastAsia" w:ascii="宋体" w:hAnsi="宋体" w:eastAsia="宋体" w:cs="宋体"/>
          <w:b/>
          <w:bCs/>
          <w:spacing w:val="-7"/>
          <w:sz w:val="48"/>
          <w:szCs w:val="48"/>
          <w:lang w:val="en-US" w:eastAsia="zh-CN"/>
        </w:rPr>
        <w:t>公司</w:t>
      </w:r>
    </w:p>
    <w:p w14:paraId="2CC22794">
      <w:pPr>
        <w:keepNext w:val="0"/>
        <w:keepLines w:val="0"/>
        <w:pageBreakBefore w:val="0"/>
        <w:widowControl/>
        <w:kinsoku w:val="0"/>
        <w:wordWrap/>
        <w:overflowPunct/>
        <w:topLinePunct w:val="0"/>
        <w:autoSpaceDE w:val="0"/>
        <w:autoSpaceDN w:val="0"/>
        <w:bidi w:val="0"/>
        <w:adjustRightInd w:val="0"/>
        <w:snapToGrid w:val="0"/>
        <w:spacing w:line="372" w:lineRule="auto"/>
        <w:ind w:left="737" w:right="0" w:hanging="737"/>
        <w:jc w:val="center"/>
        <w:textAlignment w:val="baseline"/>
        <w:outlineLvl w:val="0"/>
        <w:rPr>
          <w:rFonts w:hint="eastAsia" w:ascii="宋体" w:hAnsi="宋体" w:eastAsia="宋体" w:cs="宋体"/>
          <w:sz w:val="48"/>
          <w:szCs w:val="48"/>
          <w:lang w:val="en-US" w:eastAsia="zh-CN"/>
        </w:rPr>
      </w:pPr>
      <w:r>
        <w:rPr>
          <w:rFonts w:hint="eastAsia" w:ascii="宋体" w:hAnsi="宋体" w:eastAsia="宋体" w:cs="宋体"/>
          <w:b/>
          <w:bCs/>
          <w:spacing w:val="-6"/>
          <w:sz w:val="48"/>
          <w:szCs w:val="48"/>
        </w:rPr>
        <w:t>东矿区绿色矿山建设实施方案编制</w:t>
      </w:r>
      <w:r>
        <w:rPr>
          <w:rFonts w:hint="eastAsia" w:ascii="宋体" w:hAnsi="宋体" w:eastAsia="宋体" w:cs="宋体"/>
          <w:b/>
          <w:bCs/>
          <w:spacing w:val="-6"/>
          <w:sz w:val="48"/>
          <w:szCs w:val="48"/>
          <w:lang w:val="en-US" w:eastAsia="zh-CN"/>
        </w:rPr>
        <w:t>采购</w:t>
      </w:r>
    </w:p>
    <w:p w14:paraId="62ACFA99">
      <w:pPr>
        <w:pStyle w:val="5"/>
        <w:spacing w:line="251" w:lineRule="auto"/>
      </w:pPr>
    </w:p>
    <w:p w14:paraId="7ADE85EF">
      <w:pPr>
        <w:pStyle w:val="5"/>
        <w:spacing w:line="251" w:lineRule="auto"/>
      </w:pPr>
    </w:p>
    <w:p w14:paraId="7D67E191">
      <w:pPr>
        <w:pStyle w:val="5"/>
        <w:spacing w:line="251" w:lineRule="auto"/>
      </w:pPr>
    </w:p>
    <w:p w14:paraId="0087006B">
      <w:pPr>
        <w:pStyle w:val="5"/>
        <w:spacing w:line="251" w:lineRule="auto"/>
      </w:pPr>
    </w:p>
    <w:p w14:paraId="2E14DEE3">
      <w:pPr>
        <w:pStyle w:val="5"/>
        <w:spacing w:line="251" w:lineRule="auto"/>
      </w:pPr>
    </w:p>
    <w:p w14:paraId="2A965AF0">
      <w:pPr>
        <w:pStyle w:val="5"/>
        <w:spacing w:line="251" w:lineRule="auto"/>
      </w:pPr>
    </w:p>
    <w:p w14:paraId="5D77E7AC">
      <w:pPr>
        <w:pStyle w:val="5"/>
        <w:spacing w:line="252" w:lineRule="auto"/>
      </w:pPr>
    </w:p>
    <w:p w14:paraId="7B1097CB">
      <w:pPr>
        <w:pStyle w:val="5"/>
        <w:spacing w:line="252" w:lineRule="auto"/>
      </w:pPr>
    </w:p>
    <w:p w14:paraId="7C88A595">
      <w:pPr>
        <w:pStyle w:val="5"/>
        <w:spacing w:line="252" w:lineRule="auto"/>
      </w:pPr>
    </w:p>
    <w:p w14:paraId="3B52868D">
      <w:pPr>
        <w:pStyle w:val="5"/>
        <w:spacing w:line="252" w:lineRule="auto"/>
      </w:pPr>
    </w:p>
    <w:p w14:paraId="5F96250D">
      <w:pPr>
        <w:spacing w:before="169" w:line="220" w:lineRule="auto"/>
        <w:ind w:left="2351"/>
        <w:rPr>
          <w:rFonts w:ascii="宋体" w:hAnsi="宋体" w:eastAsia="宋体" w:cs="宋体"/>
          <w:sz w:val="48"/>
          <w:szCs w:val="48"/>
        </w:rPr>
      </w:pPr>
      <w:r>
        <w:rPr>
          <w:rFonts w:ascii="宋体" w:hAnsi="宋体" w:eastAsia="宋体" w:cs="宋体"/>
          <w:b/>
          <w:bCs/>
          <w:spacing w:val="-6"/>
          <w:sz w:val="48"/>
          <w:szCs w:val="48"/>
        </w:rPr>
        <w:t>竞争性谈判文件</w:t>
      </w:r>
    </w:p>
    <w:p w14:paraId="35BE6C00">
      <w:pPr>
        <w:pStyle w:val="5"/>
        <w:spacing w:line="244" w:lineRule="auto"/>
      </w:pPr>
    </w:p>
    <w:p w14:paraId="41E92BA5">
      <w:pPr>
        <w:pStyle w:val="5"/>
        <w:spacing w:line="245" w:lineRule="auto"/>
      </w:pPr>
    </w:p>
    <w:p w14:paraId="0D5FE01A">
      <w:pPr>
        <w:pStyle w:val="5"/>
        <w:spacing w:line="245" w:lineRule="auto"/>
      </w:pPr>
    </w:p>
    <w:p w14:paraId="1D86F5CD">
      <w:pPr>
        <w:pStyle w:val="5"/>
        <w:spacing w:line="245" w:lineRule="auto"/>
      </w:pPr>
    </w:p>
    <w:p w14:paraId="19F04265">
      <w:pPr>
        <w:pStyle w:val="5"/>
        <w:spacing w:line="245" w:lineRule="auto"/>
      </w:pPr>
    </w:p>
    <w:p w14:paraId="340EDA39">
      <w:pPr>
        <w:pStyle w:val="5"/>
        <w:spacing w:line="245" w:lineRule="auto"/>
      </w:pPr>
    </w:p>
    <w:p w14:paraId="44B9979B">
      <w:pPr>
        <w:pStyle w:val="5"/>
        <w:spacing w:line="245" w:lineRule="auto"/>
      </w:pPr>
    </w:p>
    <w:p w14:paraId="2373726A">
      <w:pPr>
        <w:pStyle w:val="5"/>
        <w:spacing w:line="245" w:lineRule="auto"/>
      </w:pPr>
    </w:p>
    <w:p w14:paraId="1FA80739">
      <w:pPr>
        <w:pStyle w:val="5"/>
        <w:spacing w:line="245" w:lineRule="auto"/>
      </w:pPr>
    </w:p>
    <w:p w14:paraId="44AE346D">
      <w:pPr>
        <w:pStyle w:val="5"/>
        <w:spacing w:line="245" w:lineRule="auto"/>
      </w:pPr>
    </w:p>
    <w:p w14:paraId="7C75A16C">
      <w:pPr>
        <w:pStyle w:val="5"/>
        <w:spacing w:line="245" w:lineRule="auto"/>
      </w:pPr>
    </w:p>
    <w:p w14:paraId="705B2631">
      <w:pPr>
        <w:pStyle w:val="5"/>
        <w:spacing w:line="245" w:lineRule="auto"/>
      </w:pPr>
    </w:p>
    <w:p w14:paraId="4D045C62">
      <w:pPr>
        <w:pStyle w:val="5"/>
        <w:spacing w:line="245" w:lineRule="auto"/>
      </w:pPr>
    </w:p>
    <w:p w14:paraId="2F8E0F7B">
      <w:pPr>
        <w:pStyle w:val="5"/>
        <w:spacing w:line="245" w:lineRule="auto"/>
      </w:pPr>
    </w:p>
    <w:p w14:paraId="07E4B55E">
      <w:pPr>
        <w:spacing w:before="101" w:line="333" w:lineRule="auto"/>
        <w:ind w:left="2528" w:leftChars="588" w:right="1262" w:hanging="1293" w:hangingChars="400"/>
        <w:rPr>
          <w:rFonts w:ascii="宋体" w:hAnsi="宋体" w:eastAsia="宋体" w:cs="宋体"/>
          <w:sz w:val="31"/>
          <w:szCs w:val="31"/>
          <w:highlight w:val="yellow"/>
        </w:rPr>
      </w:pPr>
      <w:r>
        <w:rPr>
          <w:rFonts w:ascii="宋体" w:hAnsi="宋体" w:eastAsia="宋体" w:cs="宋体"/>
          <w:b/>
          <w:bCs/>
          <w:spacing w:val="6"/>
          <w:sz w:val="31"/>
          <w:szCs w:val="31"/>
        </w:rPr>
        <w:t>采购人：山东济钢环保新材料有限公司</w:t>
      </w:r>
      <w:r>
        <w:rPr>
          <w:rFonts w:ascii="宋体" w:hAnsi="宋体" w:eastAsia="宋体" w:cs="宋体"/>
          <w:spacing w:val="1"/>
          <w:sz w:val="31"/>
          <w:szCs w:val="31"/>
        </w:rPr>
        <w:t xml:space="preserve"> </w:t>
      </w:r>
      <w:r>
        <w:rPr>
          <w:rFonts w:ascii="宋体" w:hAnsi="宋体" w:eastAsia="宋体" w:cs="宋体"/>
          <w:b/>
          <w:bCs/>
          <w:spacing w:val="4"/>
          <w:sz w:val="31"/>
          <w:szCs w:val="31"/>
          <w:highlight w:val="yellow"/>
        </w:rPr>
        <w:t>202</w:t>
      </w:r>
      <w:r>
        <w:rPr>
          <w:rFonts w:hint="eastAsia" w:ascii="宋体" w:hAnsi="宋体" w:eastAsia="宋体" w:cs="宋体"/>
          <w:b/>
          <w:bCs/>
          <w:spacing w:val="4"/>
          <w:sz w:val="31"/>
          <w:szCs w:val="31"/>
          <w:highlight w:val="yellow"/>
          <w:lang w:val="en-US" w:eastAsia="zh-CN"/>
        </w:rPr>
        <w:t>5</w:t>
      </w:r>
      <w:r>
        <w:rPr>
          <w:rFonts w:ascii="宋体" w:hAnsi="宋体" w:eastAsia="宋体" w:cs="宋体"/>
          <w:b/>
          <w:bCs/>
          <w:spacing w:val="4"/>
          <w:sz w:val="31"/>
          <w:szCs w:val="31"/>
          <w:highlight w:val="yellow"/>
        </w:rPr>
        <w:t>年</w:t>
      </w:r>
      <w:r>
        <w:rPr>
          <w:rFonts w:ascii="宋体" w:hAnsi="宋体" w:eastAsia="宋体" w:cs="宋体"/>
          <w:spacing w:val="4"/>
          <w:sz w:val="31"/>
          <w:szCs w:val="31"/>
          <w:highlight w:val="yellow"/>
        </w:rPr>
        <w:t xml:space="preserve"> </w:t>
      </w:r>
      <w:r>
        <w:rPr>
          <w:rFonts w:hint="eastAsia" w:ascii="宋体" w:hAnsi="宋体" w:eastAsia="宋体" w:cs="宋体"/>
          <w:b/>
          <w:bCs/>
          <w:spacing w:val="4"/>
          <w:sz w:val="31"/>
          <w:szCs w:val="31"/>
          <w:highlight w:val="yellow"/>
          <w:lang w:val="en-US" w:eastAsia="zh-CN"/>
        </w:rPr>
        <w:t>11</w:t>
      </w:r>
      <w:r>
        <w:rPr>
          <w:rFonts w:ascii="宋体" w:hAnsi="宋体" w:eastAsia="宋体" w:cs="宋体"/>
          <w:spacing w:val="4"/>
          <w:sz w:val="31"/>
          <w:szCs w:val="31"/>
          <w:highlight w:val="yellow"/>
        </w:rPr>
        <w:t xml:space="preserve"> </w:t>
      </w:r>
      <w:r>
        <w:rPr>
          <w:rFonts w:ascii="宋体" w:hAnsi="宋体" w:eastAsia="宋体" w:cs="宋体"/>
          <w:b/>
          <w:bCs/>
          <w:spacing w:val="4"/>
          <w:sz w:val="31"/>
          <w:szCs w:val="31"/>
          <w:highlight w:val="yellow"/>
        </w:rPr>
        <w:t>月</w:t>
      </w:r>
      <w:r>
        <w:rPr>
          <w:rFonts w:hint="eastAsia" w:ascii="宋体" w:hAnsi="宋体" w:eastAsia="宋体" w:cs="宋体"/>
          <w:spacing w:val="4"/>
          <w:sz w:val="31"/>
          <w:szCs w:val="31"/>
          <w:highlight w:val="yellow"/>
          <w:lang w:val="en-US" w:eastAsia="zh-CN"/>
        </w:rPr>
        <w:t>17</w:t>
      </w:r>
      <w:r>
        <w:rPr>
          <w:rFonts w:ascii="宋体" w:hAnsi="宋体" w:eastAsia="宋体" w:cs="宋体"/>
          <w:b/>
          <w:bCs/>
          <w:spacing w:val="4"/>
          <w:sz w:val="31"/>
          <w:szCs w:val="31"/>
          <w:highlight w:val="yellow"/>
        </w:rPr>
        <w:t>日</w:t>
      </w:r>
    </w:p>
    <w:p w14:paraId="5D343BDA">
      <w:pPr>
        <w:spacing w:line="333" w:lineRule="auto"/>
        <w:rPr>
          <w:rFonts w:ascii="宋体" w:hAnsi="宋体" w:eastAsia="宋体" w:cs="宋体"/>
          <w:sz w:val="31"/>
          <w:szCs w:val="31"/>
        </w:rPr>
        <w:sectPr>
          <w:footerReference r:id="rId5" w:type="default"/>
          <w:pgSz w:w="11906" w:h="16839"/>
          <w:pgMar w:top="1431" w:right="1785" w:bottom="1362" w:left="1785" w:header="0" w:footer="1200" w:gutter="0"/>
          <w:cols w:space="720" w:num="1"/>
        </w:sectPr>
      </w:pPr>
    </w:p>
    <w:p w14:paraId="0088390B">
      <w:pPr>
        <w:keepNext w:val="0"/>
        <w:keepLines w:val="0"/>
        <w:pageBreakBefore w:val="0"/>
        <w:widowControl/>
        <w:kinsoku w:val="0"/>
        <w:wordWrap/>
        <w:overflowPunct/>
        <w:topLinePunct w:val="0"/>
        <w:autoSpaceDE w:val="0"/>
        <w:autoSpaceDN w:val="0"/>
        <w:bidi w:val="0"/>
        <w:adjustRightInd w:val="0"/>
        <w:snapToGrid w:val="0"/>
        <w:spacing w:line="360" w:lineRule="auto"/>
        <w:ind w:right="-6"/>
        <w:jc w:val="center"/>
        <w:textAlignment w:val="baseline"/>
        <w:rPr>
          <w:rFonts w:hint="eastAsia" w:ascii="黑体" w:hAnsi="黑体" w:eastAsia="黑体" w:cs="黑体"/>
          <w:sz w:val="35"/>
          <w:szCs w:val="35"/>
          <w:lang w:eastAsia="zh-CN"/>
        </w:rPr>
      </w:pPr>
      <w:r>
        <w:rPr>
          <w:rFonts w:ascii="黑体" w:hAnsi="黑体" w:eastAsia="黑体" w:cs="黑体"/>
          <w:b/>
          <w:bCs/>
          <w:spacing w:val="6"/>
          <w:sz w:val="35"/>
          <w:szCs w:val="35"/>
        </w:rPr>
        <w:t>第一章</w:t>
      </w:r>
      <w:r>
        <w:rPr>
          <w:rFonts w:ascii="黑体" w:hAnsi="黑体" w:eastAsia="黑体" w:cs="黑体"/>
          <w:spacing w:val="6"/>
          <w:sz w:val="35"/>
          <w:szCs w:val="35"/>
        </w:rPr>
        <w:t xml:space="preserve">   </w:t>
      </w:r>
      <w:r>
        <w:rPr>
          <w:rFonts w:ascii="黑体" w:hAnsi="黑体" w:eastAsia="黑体" w:cs="黑体"/>
          <w:b/>
          <w:bCs/>
          <w:spacing w:val="6"/>
          <w:sz w:val="35"/>
          <w:szCs w:val="35"/>
        </w:rPr>
        <w:t>竞争性</w:t>
      </w:r>
      <w:r>
        <w:rPr>
          <w:rFonts w:hint="eastAsia" w:ascii="黑体" w:hAnsi="黑体" w:eastAsia="黑体" w:cs="黑体"/>
          <w:b/>
          <w:bCs/>
          <w:spacing w:val="6"/>
          <w:sz w:val="35"/>
          <w:szCs w:val="35"/>
          <w:lang w:eastAsia="zh-CN"/>
        </w:rPr>
        <w:t>谈判公告</w:t>
      </w:r>
    </w:p>
    <w:p w14:paraId="3E675C96">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5"/>
          <w:sz w:val="24"/>
          <w:szCs w:val="24"/>
        </w:rPr>
        <w:t>一、采购编号：</w:t>
      </w:r>
      <w:r>
        <w:rPr>
          <w:rFonts w:hint="eastAsia" w:ascii="宋体" w:hAnsi="宋体" w:eastAsia="宋体" w:cs="宋体"/>
          <w:b/>
          <w:bCs/>
          <w:spacing w:val="-5"/>
          <w:sz w:val="24"/>
          <w:szCs w:val="24"/>
        </w:rPr>
        <w:t>1173251117001</w:t>
      </w:r>
    </w:p>
    <w:p w14:paraId="26C8241A">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2"/>
          <w:sz w:val="24"/>
          <w:szCs w:val="24"/>
        </w:rPr>
        <w:t>二、采购项目名称：</w:t>
      </w:r>
      <w:r>
        <w:rPr>
          <w:rFonts w:hint="eastAsia" w:ascii="宋体" w:hAnsi="宋体" w:eastAsia="宋体" w:cs="宋体"/>
          <w:spacing w:val="-2"/>
          <w:sz w:val="24"/>
          <w:szCs w:val="24"/>
        </w:rPr>
        <w:t>山东济钢环保新材料有限公司济南市章丘区官庄弓角湾南建筑石料用灰岩东矿区绿色矿山建设实施方案编制</w:t>
      </w:r>
    </w:p>
    <w:p w14:paraId="3D5668CB">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highlight w:val="none"/>
        </w:rPr>
      </w:pPr>
      <w:r>
        <w:rPr>
          <w:rFonts w:ascii="宋体" w:hAnsi="宋体" w:eastAsia="宋体" w:cs="宋体"/>
          <w:b/>
          <w:bCs/>
          <w:spacing w:val="1"/>
          <w:sz w:val="24"/>
          <w:szCs w:val="24"/>
        </w:rPr>
        <w:t>三、采购项目范围：</w:t>
      </w:r>
      <w:r>
        <w:rPr>
          <w:rFonts w:hint="eastAsia" w:ascii="宋体" w:hAnsi="宋体" w:eastAsia="宋体" w:cs="宋体"/>
          <w:spacing w:val="-2"/>
          <w:sz w:val="24"/>
          <w:szCs w:val="24"/>
        </w:rPr>
        <w:t>依据国家、省绿色矿山建设标准规范，对照绿色矿山建设评价指标和建设时限要求，结合矿山已有的开发利用方案、初步设计等相关资料，编制《山东济钢环保新</w:t>
      </w:r>
      <w:r>
        <w:rPr>
          <w:rFonts w:hint="eastAsia" w:ascii="宋体" w:hAnsi="宋体" w:eastAsia="宋体" w:cs="宋体"/>
          <w:spacing w:val="-2"/>
          <w:sz w:val="24"/>
          <w:szCs w:val="24"/>
          <w:highlight w:val="none"/>
        </w:rPr>
        <w:t>材料有限公司济南市章丘区官庄弓角湾南建筑石料用灰岩东矿区绿色矿山建设实施方案》并通过专家评审和自然资源主管部门备案</w:t>
      </w:r>
      <w:r>
        <w:rPr>
          <w:rFonts w:ascii="宋体" w:hAnsi="宋体" w:eastAsia="宋体" w:cs="宋体"/>
          <w:spacing w:val="-2"/>
          <w:sz w:val="24"/>
          <w:szCs w:val="24"/>
          <w:highlight w:val="none"/>
        </w:rPr>
        <w:t>。</w:t>
      </w:r>
    </w:p>
    <w:p w14:paraId="07DB7F08">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5"/>
          <w:sz w:val="24"/>
          <w:szCs w:val="24"/>
          <w:highlight w:val="none"/>
        </w:rPr>
        <w:t>四、工期：</w:t>
      </w:r>
      <w:r>
        <w:rPr>
          <w:rFonts w:hint="eastAsia" w:ascii="宋体" w:hAnsi="宋体" w:eastAsia="宋体" w:cs="宋体"/>
          <w:spacing w:val="-5"/>
          <w:sz w:val="24"/>
          <w:szCs w:val="24"/>
          <w:highlight w:val="none"/>
          <w:lang w:val="en-US" w:eastAsia="zh-CN"/>
        </w:rPr>
        <w:t>90</w:t>
      </w:r>
      <w:r>
        <w:rPr>
          <w:rFonts w:ascii="宋体" w:hAnsi="宋体" w:eastAsia="宋体" w:cs="宋体"/>
          <w:spacing w:val="-5"/>
          <w:sz w:val="24"/>
          <w:szCs w:val="24"/>
          <w:highlight w:val="none"/>
        </w:rPr>
        <w:t>日历天，合</w:t>
      </w:r>
      <w:r>
        <w:rPr>
          <w:rFonts w:ascii="宋体" w:hAnsi="宋体" w:eastAsia="宋体" w:cs="宋体"/>
          <w:spacing w:val="-5"/>
          <w:sz w:val="24"/>
          <w:szCs w:val="24"/>
        </w:rPr>
        <w:t>同</w:t>
      </w:r>
      <w:r>
        <w:rPr>
          <w:rFonts w:hint="eastAsia" w:ascii="宋体" w:hAnsi="宋体" w:eastAsia="宋体" w:cs="宋体"/>
          <w:spacing w:val="-2"/>
          <w:sz w:val="24"/>
          <w:szCs w:val="24"/>
        </w:rPr>
        <w:t>生效</w:t>
      </w:r>
      <w:r>
        <w:rPr>
          <w:rFonts w:ascii="宋体" w:hAnsi="宋体" w:eastAsia="宋体" w:cs="宋体"/>
          <w:spacing w:val="-5"/>
          <w:sz w:val="24"/>
          <w:szCs w:val="24"/>
        </w:rPr>
        <w:t>当日开始。</w:t>
      </w:r>
    </w:p>
    <w:p w14:paraId="3D817D07">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4"/>
          <w:sz w:val="24"/>
          <w:szCs w:val="24"/>
        </w:rPr>
        <w:t>五、</w:t>
      </w:r>
      <w:r>
        <w:rPr>
          <w:rFonts w:hint="eastAsia" w:ascii="宋体" w:hAnsi="宋体" w:eastAsia="宋体" w:cs="宋体"/>
          <w:b/>
          <w:bCs/>
          <w:spacing w:val="-4"/>
          <w:sz w:val="24"/>
          <w:szCs w:val="24"/>
          <w:lang w:val="en-US" w:eastAsia="zh-CN"/>
        </w:rPr>
        <w:t>供应商</w:t>
      </w:r>
      <w:r>
        <w:rPr>
          <w:rFonts w:ascii="宋体" w:hAnsi="宋体" w:eastAsia="宋体" w:cs="宋体"/>
          <w:b/>
          <w:bCs/>
          <w:spacing w:val="-4"/>
          <w:sz w:val="24"/>
          <w:szCs w:val="24"/>
        </w:rPr>
        <w:t>资格要求</w:t>
      </w:r>
    </w:p>
    <w:p w14:paraId="1AFF4195">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pacing w:val="-2"/>
          <w:sz w:val="24"/>
          <w:szCs w:val="24"/>
        </w:rPr>
      </w:pPr>
      <w:r>
        <w:rPr>
          <w:rFonts w:ascii="宋体" w:hAnsi="宋体" w:eastAsia="宋体" w:cs="宋体"/>
          <w:spacing w:val="-2"/>
          <w:sz w:val="24"/>
          <w:szCs w:val="24"/>
        </w:rPr>
        <w:t>1、资质要求：依法成立，具有法人资格和一般纳税人资格</w:t>
      </w:r>
      <w:r>
        <w:rPr>
          <w:rFonts w:hint="eastAsia" w:ascii="宋体" w:hAnsi="宋体" w:eastAsia="宋体" w:cs="宋体"/>
          <w:spacing w:val="-2"/>
          <w:sz w:val="24"/>
          <w:szCs w:val="24"/>
        </w:rPr>
        <w:t>，经营范围须涵盖所投标内容</w:t>
      </w:r>
      <w:r>
        <w:rPr>
          <w:rFonts w:ascii="宋体" w:hAnsi="宋体" w:eastAsia="宋体" w:cs="宋体"/>
          <w:spacing w:val="-2"/>
          <w:sz w:val="24"/>
          <w:szCs w:val="24"/>
        </w:rPr>
        <w:t>；</w:t>
      </w:r>
    </w:p>
    <w:p w14:paraId="5159E686">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z w:val="24"/>
          <w:szCs w:val="24"/>
        </w:rPr>
      </w:pPr>
      <w:r>
        <w:rPr>
          <w:rFonts w:ascii="宋体" w:hAnsi="宋体" w:eastAsia="宋体" w:cs="宋体"/>
          <w:spacing w:val="-2"/>
          <w:sz w:val="24"/>
          <w:szCs w:val="24"/>
        </w:rPr>
        <w:t>2、业绩要求：近三年完成过类似工程</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个及以上的业绩</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需提供合同扫描件</w:t>
      </w:r>
      <w:r>
        <w:rPr>
          <w:rFonts w:hint="eastAsia" w:ascii="宋体" w:hAnsi="宋体" w:eastAsia="宋体" w:cs="宋体"/>
          <w:spacing w:val="-2"/>
          <w:sz w:val="24"/>
          <w:szCs w:val="24"/>
          <w:lang w:eastAsia="zh-CN"/>
        </w:rPr>
        <w:t>）</w:t>
      </w:r>
      <w:r>
        <w:rPr>
          <w:rFonts w:ascii="宋体" w:hAnsi="宋体" w:eastAsia="宋体" w:cs="宋体"/>
          <w:spacing w:val="-2"/>
          <w:sz w:val="24"/>
          <w:szCs w:val="24"/>
        </w:rPr>
        <w:t>；</w:t>
      </w:r>
    </w:p>
    <w:p w14:paraId="19B76B4E">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3、具有履行合同必需的装备、专业技术、资质能力</w:t>
      </w:r>
      <w:r>
        <w:rPr>
          <w:rFonts w:hint="eastAsia" w:ascii="宋体" w:hAnsi="宋体" w:eastAsia="宋体" w:cs="宋体"/>
          <w:spacing w:val="-1"/>
          <w:sz w:val="24"/>
          <w:szCs w:val="24"/>
          <w:lang w:eastAsia="zh-CN"/>
        </w:rPr>
        <w:t>；</w:t>
      </w:r>
    </w:p>
    <w:p w14:paraId="019BA979">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8"/>
        <w:textAlignment w:val="baseline"/>
        <w:rPr>
          <w:rFonts w:ascii="宋体" w:hAnsi="宋体" w:eastAsia="宋体" w:cs="宋体"/>
          <w:sz w:val="24"/>
          <w:szCs w:val="24"/>
        </w:rPr>
      </w:pPr>
      <w:r>
        <w:rPr>
          <w:rFonts w:ascii="宋体" w:hAnsi="宋体" w:eastAsia="宋体" w:cs="宋体"/>
          <w:spacing w:val="-4"/>
          <w:sz w:val="24"/>
          <w:szCs w:val="24"/>
        </w:rPr>
        <w:t>4、</w:t>
      </w: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须遵守中华人民共和国有关法律、法规，无</w:t>
      </w:r>
      <w:r>
        <w:rPr>
          <w:rFonts w:ascii="宋体" w:hAnsi="宋体" w:eastAsia="宋体" w:cs="宋体"/>
          <w:spacing w:val="-5"/>
          <w:sz w:val="24"/>
          <w:szCs w:val="24"/>
        </w:rPr>
        <w:t>重大违法违约行为。“通</w:t>
      </w:r>
      <w:r>
        <w:rPr>
          <w:rFonts w:ascii="宋体" w:hAnsi="宋体" w:eastAsia="宋体" w:cs="宋体"/>
          <w:sz w:val="24"/>
          <w:szCs w:val="24"/>
        </w:rPr>
        <w:t xml:space="preserve"> </w:t>
      </w:r>
      <w:r>
        <w:rPr>
          <w:rFonts w:ascii="宋体" w:hAnsi="宋体" w:eastAsia="宋体" w:cs="宋体"/>
          <w:spacing w:val="-9"/>
          <w:sz w:val="24"/>
          <w:szCs w:val="24"/>
        </w:rPr>
        <w:t>过</w:t>
      </w:r>
      <w:r>
        <w:rPr>
          <w:rFonts w:ascii="宋体" w:hAnsi="宋体" w:eastAsia="宋体" w:cs="宋体"/>
          <w:spacing w:val="-46"/>
          <w:sz w:val="24"/>
          <w:szCs w:val="24"/>
        </w:rPr>
        <w:t xml:space="preserve"> </w:t>
      </w:r>
      <w:r>
        <w:rPr>
          <w:rFonts w:ascii="宋体" w:hAnsi="宋体" w:eastAsia="宋体" w:cs="宋体"/>
          <w:spacing w:val="-9"/>
          <w:sz w:val="24"/>
          <w:szCs w:val="24"/>
        </w:rPr>
        <w:t>“</w:t>
      </w:r>
      <w:r>
        <w:rPr>
          <w:rFonts w:ascii="宋体" w:hAnsi="宋体" w:eastAsia="宋体" w:cs="宋体"/>
          <w:spacing w:val="-36"/>
          <w:sz w:val="24"/>
          <w:szCs w:val="24"/>
        </w:rPr>
        <w:t xml:space="preserve"> </w:t>
      </w:r>
      <w:r>
        <w:rPr>
          <w:rFonts w:ascii="宋体" w:hAnsi="宋体" w:eastAsia="宋体" w:cs="宋体"/>
          <w:spacing w:val="-9"/>
          <w:sz w:val="24"/>
          <w:szCs w:val="24"/>
        </w:rPr>
        <w:t>信</w:t>
      </w:r>
      <w:r>
        <w:rPr>
          <w:rFonts w:ascii="宋体" w:hAnsi="宋体" w:eastAsia="宋体" w:cs="宋体"/>
          <w:spacing w:val="-34"/>
          <w:sz w:val="24"/>
          <w:szCs w:val="24"/>
        </w:rPr>
        <w:t xml:space="preserve"> </w:t>
      </w:r>
      <w:r>
        <w:rPr>
          <w:rFonts w:ascii="宋体" w:hAnsi="宋体" w:eastAsia="宋体" w:cs="宋体"/>
          <w:spacing w:val="-9"/>
          <w:sz w:val="24"/>
          <w:szCs w:val="24"/>
        </w:rPr>
        <w:t>用 中 国 ”</w:t>
      </w:r>
      <w:r>
        <w:rPr>
          <w:rFonts w:ascii="宋体" w:hAnsi="宋体" w:eastAsia="宋体" w:cs="宋体"/>
          <w:spacing w:val="-50"/>
          <w:sz w:val="24"/>
          <w:szCs w:val="24"/>
        </w:rPr>
        <w:t xml:space="preserve"> </w:t>
      </w:r>
      <w:r>
        <w:rPr>
          <w:rFonts w:ascii="宋体" w:hAnsi="宋体" w:eastAsia="宋体" w:cs="宋体"/>
          <w:spacing w:val="-9"/>
          <w:sz w:val="24"/>
          <w:szCs w:val="24"/>
        </w:rPr>
        <w:t>网</w:t>
      </w:r>
      <w:r>
        <w:rPr>
          <w:rFonts w:ascii="宋体" w:hAnsi="宋体" w:eastAsia="宋体" w:cs="宋体"/>
          <w:spacing w:val="-35"/>
          <w:sz w:val="24"/>
          <w:szCs w:val="24"/>
        </w:rPr>
        <w:t xml:space="preserve"> </w:t>
      </w:r>
      <w:r>
        <w:rPr>
          <w:rFonts w:ascii="宋体" w:hAnsi="宋体" w:eastAsia="宋体" w:cs="宋体"/>
          <w:spacing w:val="-9"/>
          <w:sz w:val="24"/>
          <w:szCs w:val="24"/>
        </w:rPr>
        <w:t>站</w:t>
      </w:r>
      <w:r>
        <w:rPr>
          <w:rFonts w:ascii="宋体" w:hAnsi="宋体" w:eastAsia="宋体" w:cs="宋体"/>
          <w:spacing w:val="-46"/>
          <w:sz w:val="24"/>
          <w:szCs w:val="24"/>
        </w:rPr>
        <w:t xml:space="preserve"> </w:t>
      </w:r>
      <w:r>
        <w:rPr>
          <w:rFonts w:ascii="宋体" w:hAnsi="宋体" w:eastAsia="宋体" w:cs="宋体"/>
          <w:spacing w:val="-9"/>
          <w:sz w:val="24"/>
          <w:szCs w:val="24"/>
        </w:rPr>
        <w:t>（ www.creditchi</w:t>
      </w:r>
      <w:r>
        <w:rPr>
          <w:rFonts w:ascii="宋体" w:hAnsi="宋体" w:eastAsia="宋体" w:cs="宋体"/>
          <w:spacing w:val="-10"/>
          <w:sz w:val="24"/>
          <w:szCs w:val="24"/>
        </w:rPr>
        <w:t>na.gov.cn ） 、</w:t>
      </w:r>
      <w:r>
        <w:rPr>
          <w:rFonts w:ascii="宋体" w:hAnsi="宋体" w:eastAsia="宋体" w:cs="宋体"/>
          <w:spacing w:val="-13"/>
          <w:sz w:val="24"/>
          <w:szCs w:val="24"/>
        </w:rPr>
        <w:t xml:space="preserve"> </w:t>
      </w:r>
      <w:r>
        <w:rPr>
          <w:rFonts w:ascii="宋体" w:hAnsi="宋体" w:eastAsia="宋体" w:cs="宋体"/>
          <w:spacing w:val="-10"/>
          <w:sz w:val="24"/>
          <w:szCs w:val="24"/>
        </w:rPr>
        <w:t>中 国</w:t>
      </w:r>
      <w:r>
        <w:rPr>
          <w:rFonts w:ascii="宋体" w:hAnsi="宋体" w:eastAsia="宋体" w:cs="宋体"/>
          <w:spacing w:val="-38"/>
          <w:sz w:val="24"/>
          <w:szCs w:val="24"/>
        </w:rPr>
        <w:t xml:space="preserve"> </w:t>
      </w:r>
      <w:r>
        <w:rPr>
          <w:rFonts w:ascii="宋体" w:hAnsi="宋体" w:eastAsia="宋体" w:cs="宋体"/>
          <w:spacing w:val="-10"/>
          <w:sz w:val="24"/>
          <w:szCs w:val="24"/>
        </w:rPr>
        <w:t>政</w:t>
      </w:r>
      <w:r>
        <w:rPr>
          <w:rFonts w:ascii="宋体" w:hAnsi="宋体" w:eastAsia="宋体" w:cs="宋体"/>
          <w:spacing w:val="-37"/>
          <w:sz w:val="24"/>
          <w:szCs w:val="24"/>
        </w:rPr>
        <w:t xml:space="preserve"> </w:t>
      </w:r>
      <w:r>
        <w:rPr>
          <w:rFonts w:ascii="宋体" w:hAnsi="宋体" w:eastAsia="宋体" w:cs="宋体"/>
          <w:spacing w:val="-10"/>
          <w:sz w:val="24"/>
          <w:szCs w:val="24"/>
        </w:rPr>
        <w:t>府</w:t>
      </w:r>
      <w:r>
        <w:rPr>
          <w:rFonts w:ascii="宋体" w:hAnsi="宋体" w:eastAsia="宋体" w:cs="宋体"/>
          <w:spacing w:val="-33"/>
          <w:sz w:val="24"/>
          <w:szCs w:val="24"/>
        </w:rPr>
        <w:t xml:space="preserve"> </w:t>
      </w:r>
      <w:r>
        <w:rPr>
          <w:rFonts w:ascii="宋体" w:hAnsi="宋体" w:eastAsia="宋体" w:cs="宋体"/>
          <w:spacing w:val="-10"/>
          <w:sz w:val="24"/>
          <w:szCs w:val="24"/>
        </w:rPr>
        <w:t>招</w:t>
      </w:r>
      <w:r>
        <w:rPr>
          <w:rFonts w:ascii="宋体" w:hAnsi="宋体" w:eastAsia="宋体" w:cs="宋体"/>
          <w:spacing w:val="-35"/>
          <w:sz w:val="24"/>
          <w:szCs w:val="24"/>
        </w:rPr>
        <w:t xml:space="preserve"> </w:t>
      </w:r>
      <w:r>
        <w:rPr>
          <w:rFonts w:ascii="宋体" w:hAnsi="宋体" w:eastAsia="宋体" w:cs="宋体"/>
          <w:spacing w:val="-10"/>
          <w:sz w:val="24"/>
          <w:szCs w:val="24"/>
        </w:rPr>
        <w:t>标</w:t>
      </w:r>
      <w:r>
        <w:rPr>
          <w:rFonts w:ascii="宋体" w:hAnsi="宋体" w:eastAsia="宋体" w:cs="宋体"/>
          <w:spacing w:val="-17"/>
          <w:sz w:val="24"/>
          <w:szCs w:val="24"/>
        </w:rPr>
        <w:t xml:space="preserve"> </w:t>
      </w:r>
      <w:r>
        <w:rPr>
          <w:rFonts w:ascii="宋体" w:hAnsi="宋体" w:eastAsia="宋体" w:cs="宋体"/>
          <w:spacing w:val="-10"/>
          <w:sz w:val="24"/>
          <w:szCs w:val="24"/>
        </w:rPr>
        <w:t>网</w:t>
      </w:r>
    </w:p>
    <w:p w14:paraId="5C3013F5">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11"/>
        <w:textAlignment w:val="baseline"/>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）查询，未被列入失信被执行人、重大税收违法案件当事人、</w:t>
      </w:r>
      <w:r>
        <w:rPr>
          <w:rFonts w:ascii="宋体" w:hAnsi="宋体" w:eastAsia="宋体" w:cs="宋体"/>
          <w:spacing w:val="5"/>
          <w:sz w:val="24"/>
          <w:szCs w:val="24"/>
        </w:rPr>
        <w:t xml:space="preserve"> </w:t>
      </w:r>
      <w:r>
        <w:rPr>
          <w:rFonts w:ascii="宋体" w:hAnsi="宋体" w:eastAsia="宋体" w:cs="宋体"/>
          <w:spacing w:val="-2"/>
          <w:sz w:val="24"/>
          <w:szCs w:val="24"/>
        </w:rPr>
        <w:t>政府招标严重违法失信行为记录名单</w:t>
      </w:r>
      <w:r>
        <w:rPr>
          <w:rFonts w:ascii="宋体" w:hAnsi="宋体" w:eastAsia="宋体" w:cs="宋体"/>
          <w:spacing w:val="-80"/>
          <w:sz w:val="24"/>
          <w:szCs w:val="24"/>
        </w:rPr>
        <w:t xml:space="preserve"> </w:t>
      </w:r>
      <w:r>
        <w:rPr>
          <w:rFonts w:ascii="宋体" w:hAnsi="宋体" w:eastAsia="宋体" w:cs="宋体"/>
          <w:spacing w:val="-2"/>
          <w:sz w:val="24"/>
          <w:szCs w:val="24"/>
        </w:rPr>
        <w:t>”，提供查询截屏。</w:t>
      </w:r>
    </w:p>
    <w:p w14:paraId="5FEA4070">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5、如有单位资料造假，一经发现，立即在网上公示，并永久取消</w:t>
      </w:r>
      <w:r>
        <w:rPr>
          <w:rFonts w:hint="eastAsia" w:ascii="宋体" w:hAnsi="宋体" w:eastAsia="宋体" w:cs="宋体"/>
          <w:spacing w:val="-1"/>
          <w:sz w:val="24"/>
          <w:szCs w:val="24"/>
          <w:lang w:val="en-US" w:eastAsia="zh-CN"/>
        </w:rPr>
        <w:t>其</w:t>
      </w:r>
      <w:r>
        <w:rPr>
          <w:rFonts w:ascii="宋体" w:hAnsi="宋体" w:eastAsia="宋体" w:cs="宋体"/>
          <w:spacing w:val="-1"/>
          <w:sz w:val="24"/>
          <w:szCs w:val="24"/>
        </w:rPr>
        <w:t>资格。</w:t>
      </w:r>
    </w:p>
    <w:p w14:paraId="0D079A85">
      <w:pPr>
        <w:spacing w:before="184" w:line="218" w:lineRule="auto"/>
        <w:ind w:left="4"/>
        <w:rPr>
          <w:rFonts w:ascii="宋体" w:hAnsi="宋体" w:eastAsia="宋体" w:cs="宋体"/>
          <w:sz w:val="24"/>
          <w:szCs w:val="24"/>
        </w:rPr>
      </w:pPr>
      <w:r>
        <w:rPr>
          <w:rFonts w:ascii="宋体" w:hAnsi="宋体" w:eastAsia="宋体" w:cs="宋体"/>
          <w:b/>
          <w:bCs/>
          <w:spacing w:val="-4"/>
          <w:sz w:val="24"/>
          <w:szCs w:val="24"/>
        </w:rPr>
        <w:t>六、公告和报名</w:t>
      </w:r>
    </w:p>
    <w:p w14:paraId="2B7E2EB3">
      <w:pPr>
        <w:spacing w:before="184" w:line="287" w:lineRule="auto"/>
        <w:ind w:firstLine="500"/>
        <w:rPr>
          <w:rFonts w:ascii="宋体" w:hAnsi="宋体" w:eastAsia="宋体" w:cs="宋体"/>
          <w:sz w:val="24"/>
          <w:szCs w:val="24"/>
        </w:rPr>
      </w:pPr>
      <w:r>
        <w:rPr>
          <w:rFonts w:ascii="宋体" w:hAnsi="宋体" w:eastAsia="宋体" w:cs="宋体"/>
          <w:spacing w:val="-3"/>
          <w:sz w:val="24"/>
          <w:szCs w:val="24"/>
        </w:rPr>
        <w:t>1、报名方式：通过登录济钢集团有限公司阳光购销平台网上报名，</w:t>
      </w:r>
      <w:r>
        <w:rPr>
          <w:rFonts w:ascii="宋体" w:hAnsi="宋体" w:eastAsia="宋体" w:cs="宋体"/>
          <w:spacing w:val="-4"/>
          <w:sz w:val="24"/>
          <w:szCs w:val="24"/>
        </w:rPr>
        <w:t>平台网址：</w:t>
      </w:r>
      <w:r>
        <w:rPr>
          <w:rFonts w:ascii="宋体" w:hAnsi="宋体" w:eastAsia="宋体" w:cs="宋体"/>
          <w:sz w:val="24"/>
          <w:szCs w:val="24"/>
        </w:rPr>
        <w:t xml:space="preserve"> </w:t>
      </w:r>
      <w:r>
        <w:fldChar w:fldCharType="begin"/>
      </w:r>
      <w:r>
        <w:instrText xml:space="preserve"> HYPERLINK "http://bidding.jigang.com.cn" </w:instrText>
      </w:r>
      <w:r>
        <w:fldChar w:fldCharType="separate"/>
      </w:r>
      <w:r>
        <w:rPr>
          <w:rFonts w:ascii="宋体" w:hAnsi="宋体" w:eastAsia="宋体" w:cs="宋体"/>
          <w:sz w:val="24"/>
          <w:szCs w:val="24"/>
        </w:rPr>
        <w:t>http://bidding.jigang.</w:t>
      </w:r>
      <w:r>
        <w:rPr>
          <w:rFonts w:ascii="宋体" w:hAnsi="宋体" w:eastAsia="宋体" w:cs="宋体"/>
          <w:spacing w:val="-1"/>
          <w:sz w:val="24"/>
          <w:szCs w:val="24"/>
        </w:rPr>
        <w:t>com.cn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7856B009">
      <w:pPr>
        <w:spacing w:before="191" w:line="218" w:lineRule="auto"/>
        <w:ind w:left="485"/>
        <w:rPr>
          <w:rFonts w:ascii="宋体" w:hAnsi="宋体" w:eastAsia="宋体" w:cs="宋体"/>
          <w:sz w:val="24"/>
          <w:szCs w:val="24"/>
        </w:rPr>
      </w:pPr>
      <w:r>
        <w:rPr>
          <w:rFonts w:ascii="宋体" w:hAnsi="宋体" w:eastAsia="宋体" w:cs="宋体"/>
          <w:spacing w:val="-7"/>
          <w:sz w:val="24"/>
          <w:szCs w:val="24"/>
        </w:rPr>
        <w:t>2、公告和报名时间：</w:t>
      </w:r>
      <w:r>
        <w:rPr>
          <w:rFonts w:ascii="宋体" w:hAnsi="宋体" w:eastAsia="宋体" w:cs="宋体"/>
          <w:color w:val="FF0000"/>
          <w:spacing w:val="-7"/>
          <w:sz w:val="24"/>
          <w:szCs w:val="24"/>
        </w:rPr>
        <w:t>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w:t>
      </w:r>
      <w:r>
        <w:rPr>
          <w:rFonts w:hint="eastAsia" w:ascii="宋体" w:hAnsi="宋体" w:eastAsia="宋体" w:cs="宋体"/>
          <w:color w:val="FF0000"/>
          <w:spacing w:val="-7"/>
          <w:sz w:val="24"/>
          <w:szCs w:val="24"/>
          <w:lang w:val="en-US" w:eastAsia="zh-CN"/>
        </w:rPr>
        <w:t>11</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17</w:t>
      </w:r>
      <w:r>
        <w:rPr>
          <w:rFonts w:ascii="宋体" w:hAnsi="宋体" w:eastAsia="宋体" w:cs="宋体"/>
          <w:color w:val="FF0000"/>
          <w:spacing w:val="-7"/>
          <w:sz w:val="24"/>
          <w:szCs w:val="24"/>
        </w:rPr>
        <w:t>日～202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年1</w:t>
      </w:r>
      <w:r>
        <w:rPr>
          <w:rFonts w:hint="eastAsia" w:ascii="宋体" w:hAnsi="宋体" w:eastAsia="宋体" w:cs="宋体"/>
          <w:color w:val="FF0000"/>
          <w:spacing w:val="-7"/>
          <w:sz w:val="24"/>
          <w:szCs w:val="24"/>
          <w:lang w:val="en-US" w:eastAsia="zh-CN"/>
        </w:rPr>
        <w:t>1</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22</w:t>
      </w:r>
      <w:r>
        <w:rPr>
          <w:rFonts w:ascii="宋体" w:hAnsi="宋体" w:eastAsia="宋体" w:cs="宋体"/>
          <w:color w:val="FF0000"/>
          <w:spacing w:val="-7"/>
          <w:sz w:val="24"/>
          <w:szCs w:val="24"/>
        </w:rPr>
        <w:t>日</w:t>
      </w:r>
      <w:r>
        <w:rPr>
          <w:rFonts w:ascii="宋体" w:hAnsi="宋体" w:eastAsia="宋体" w:cs="宋体"/>
          <w:spacing w:val="-8"/>
          <w:sz w:val="24"/>
          <w:szCs w:val="24"/>
        </w:rPr>
        <w:t>（北京时间）。</w:t>
      </w:r>
    </w:p>
    <w:p w14:paraId="1D9192BA">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七、谈判时间和方式</w:t>
      </w:r>
    </w:p>
    <w:p w14:paraId="1FA0F834">
      <w:pPr>
        <w:spacing w:before="183" w:line="219" w:lineRule="auto"/>
        <w:ind w:left="500"/>
        <w:rPr>
          <w:rFonts w:ascii="宋体" w:hAnsi="宋体" w:eastAsia="宋体" w:cs="宋体"/>
          <w:sz w:val="24"/>
          <w:szCs w:val="24"/>
        </w:rPr>
      </w:pPr>
      <w:r>
        <w:rPr>
          <w:rFonts w:ascii="宋体" w:hAnsi="宋体" w:eastAsia="宋体" w:cs="宋体"/>
          <w:spacing w:val="-9"/>
          <w:sz w:val="24"/>
          <w:szCs w:val="24"/>
        </w:rPr>
        <w:t>1、谈判时间：</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 xml:space="preserve">11 </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25</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r>
        <w:rPr>
          <w:rFonts w:ascii="宋体" w:hAnsi="宋体" w:eastAsia="宋体" w:cs="宋体"/>
          <w:spacing w:val="-9"/>
          <w:sz w:val="24"/>
          <w:szCs w:val="24"/>
        </w:rPr>
        <w:t>；</w:t>
      </w:r>
    </w:p>
    <w:p w14:paraId="6694EDDF">
      <w:pPr>
        <w:spacing w:before="183" w:line="290" w:lineRule="auto"/>
        <w:ind w:left="6" w:right="2357" w:firstLine="479"/>
        <w:rPr>
          <w:rFonts w:ascii="宋体" w:hAnsi="宋体" w:eastAsia="宋体" w:cs="宋体"/>
          <w:sz w:val="24"/>
          <w:szCs w:val="24"/>
        </w:rPr>
      </w:pPr>
      <w:r>
        <w:rPr>
          <w:rFonts w:ascii="宋体" w:hAnsi="宋体" w:eastAsia="宋体" w:cs="宋体"/>
          <w:spacing w:val="-2"/>
          <w:sz w:val="24"/>
          <w:szCs w:val="24"/>
        </w:rPr>
        <w:t>2、谈判方式：网上谈判，谈判时无需供应商到</w:t>
      </w:r>
      <w:r>
        <w:rPr>
          <w:rFonts w:ascii="宋体" w:hAnsi="宋体" w:eastAsia="宋体" w:cs="宋体"/>
          <w:spacing w:val="-3"/>
          <w:sz w:val="24"/>
          <w:szCs w:val="24"/>
        </w:rPr>
        <w:t>达现场</w:t>
      </w:r>
      <w:r>
        <w:rPr>
          <w:rFonts w:ascii="宋体" w:hAnsi="宋体" w:eastAsia="宋体" w:cs="宋体"/>
          <w:sz w:val="24"/>
          <w:szCs w:val="24"/>
        </w:rPr>
        <w:t xml:space="preserve"> </w:t>
      </w:r>
      <w:r>
        <w:rPr>
          <w:rFonts w:ascii="宋体" w:hAnsi="宋体" w:eastAsia="宋体" w:cs="宋体"/>
          <w:b/>
          <w:bCs/>
          <w:spacing w:val="-2"/>
          <w:sz w:val="24"/>
          <w:szCs w:val="24"/>
        </w:rPr>
        <w:t>八、谈判保证金：</w:t>
      </w:r>
      <w:r>
        <w:rPr>
          <w:rFonts w:ascii="宋体" w:hAnsi="宋体" w:eastAsia="宋体" w:cs="宋体"/>
          <w:spacing w:val="-2"/>
          <w:sz w:val="24"/>
          <w:szCs w:val="24"/>
        </w:rPr>
        <w:t>无</w:t>
      </w:r>
    </w:p>
    <w:p w14:paraId="4AA7AAC6">
      <w:pPr>
        <w:spacing w:before="182" w:line="219" w:lineRule="auto"/>
        <w:ind w:left="8"/>
        <w:rPr>
          <w:rFonts w:ascii="宋体" w:hAnsi="宋体" w:eastAsia="宋体" w:cs="宋体"/>
          <w:sz w:val="24"/>
          <w:szCs w:val="24"/>
        </w:rPr>
      </w:pPr>
      <w:r>
        <w:rPr>
          <w:rFonts w:ascii="宋体" w:hAnsi="宋体" w:eastAsia="宋体" w:cs="宋体"/>
          <w:b/>
          <w:bCs/>
          <w:spacing w:val="-4"/>
          <w:sz w:val="24"/>
          <w:szCs w:val="24"/>
        </w:rPr>
        <w:t>九、谈判文件的获取方式</w:t>
      </w:r>
    </w:p>
    <w:p w14:paraId="1D8228BC">
      <w:pPr>
        <w:spacing w:before="183" w:line="313" w:lineRule="auto"/>
        <w:ind w:left="3" w:right="59" w:firstLine="496"/>
        <w:jc w:val="both"/>
        <w:rPr>
          <w:rFonts w:ascii="宋体" w:hAnsi="宋体" w:eastAsia="宋体" w:cs="宋体"/>
          <w:sz w:val="24"/>
          <w:szCs w:val="24"/>
        </w:rPr>
      </w:pPr>
      <w:r>
        <w:rPr>
          <w:rFonts w:ascii="宋体" w:hAnsi="宋体" w:eastAsia="宋体" w:cs="宋体"/>
          <w:spacing w:val="2"/>
          <w:sz w:val="24"/>
          <w:szCs w:val="24"/>
        </w:rPr>
        <w:t xml:space="preserve">1、获取方式：凡有意参加的潜在供应商，在公告期内登陆：济钢集团有限公 </w:t>
      </w:r>
      <w:r>
        <w:rPr>
          <w:rFonts w:ascii="宋体" w:hAnsi="宋体" w:eastAsia="宋体" w:cs="宋体"/>
          <w:spacing w:val="-2"/>
          <w:sz w:val="24"/>
          <w:szCs w:val="24"/>
        </w:rPr>
        <w:t>司阳光购销平台</w:t>
      </w:r>
      <w:r>
        <w:rPr>
          <w:rFonts w:ascii="宋体" w:hAnsi="宋体" w:eastAsia="宋体" w:cs="宋体"/>
          <w:spacing w:val="-51"/>
          <w:sz w:val="24"/>
          <w:szCs w:val="24"/>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rPr>
        <w:t>http://bidding.jigang.com.cn</w:t>
      </w:r>
      <w:r>
        <w:rPr>
          <w:rFonts w:ascii="宋体" w:hAnsi="宋体" w:eastAsia="宋体" w:cs="宋体"/>
          <w:spacing w:val="-2"/>
          <w:sz w:val="24"/>
          <w:szCs w:val="24"/>
        </w:rPr>
        <w:fldChar w:fldCharType="end"/>
      </w:r>
      <w:r>
        <w:rPr>
          <w:rFonts w:ascii="宋体" w:hAnsi="宋体" w:eastAsia="宋体" w:cs="宋体"/>
          <w:spacing w:val="-2"/>
          <w:sz w:val="24"/>
          <w:szCs w:val="24"/>
        </w:rPr>
        <w:t>/ ，注册用户成功后，须修改初始</w:t>
      </w:r>
      <w:r>
        <w:rPr>
          <w:rFonts w:ascii="宋体" w:hAnsi="宋体" w:eastAsia="宋体" w:cs="宋体"/>
          <w:sz w:val="24"/>
          <w:szCs w:val="24"/>
        </w:rPr>
        <w:t xml:space="preserve"> </w:t>
      </w:r>
      <w:r>
        <w:rPr>
          <w:rFonts w:ascii="宋体" w:hAnsi="宋体" w:eastAsia="宋体" w:cs="宋体"/>
          <w:spacing w:val="-1"/>
          <w:sz w:val="24"/>
          <w:szCs w:val="24"/>
        </w:rPr>
        <w:t>密码，重新登录后报名，报名成功后即可下载谈判文件；</w:t>
      </w:r>
    </w:p>
    <w:p w14:paraId="3FBA9062">
      <w:pPr>
        <w:spacing w:before="183" w:line="218" w:lineRule="auto"/>
        <w:ind w:left="485"/>
        <w:rPr>
          <w:rFonts w:ascii="宋体" w:hAnsi="宋体" w:eastAsia="宋体" w:cs="宋体"/>
          <w:sz w:val="24"/>
          <w:szCs w:val="24"/>
        </w:rPr>
      </w:pPr>
      <w:r>
        <w:rPr>
          <w:rFonts w:ascii="宋体" w:hAnsi="宋体" w:eastAsia="宋体" w:cs="宋体"/>
          <w:spacing w:val="-2"/>
          <w:sz w:val="24"/>
          <w:szCs w:val="24"/>
        </w:rPr>
        <w:t>2、售价：免费。</w:t>
      </w:r>
    </w:p>
    <w:p w14:paraId="4C5892FA">
      <w:pPr>
        <w:spacing w:before="185" w:line="219" w:lineRule="auto"/>
        <w:ind w:left="3"/>
        <w:rPr>
          <w:rFonts w:ascii="宋体" w:hAnsi="宋体" w:eastAsia="宋体" w:cs="宋体"/>
          <w:sz w:val="24"/>
          <w:szCs w:val="24"/>
        </w:rPr>
      </w:pPr>
      <w:r>
        <w:rPr>
          <w:rFonts w:ascii="宋体" w:hAnsi="宋体" w:eastAsia="宋体" w:cs="宋体"/>
          <w:b/>
          <w:bCs/>
          <w:spacing w:val="-4"/>
          <w:sz w:val="24"/>
          <w:szCs w:val="24"/>
        </w:rPr>
        <w:t>十、资格审查</w:t>
      </w:r>
    </w:p>
    <w:p w14:paraId="1BAFC3A3">
      <w:pPr>
        <w:spacing w:before="183" w:line="219" w:lineRule="auto"/>
        <w:ind w:left="493"/>
        <w:rPr>
          <w:rFonts w:ascii="宋体" w:hAnsi="宋体" w:eastAsia="宋体" w:cs="宋体"/>
          <w:sz w:val="24"/>
          <w:szCs w:val="24"/>
        </w:rPr>
      </w:pPr>
      <w:r>
        <w:rPr>
          <w:rFonts w:ascii="宋体" w:hAnsi="宋体" w:eastAsia="宋体" w:cs="宋体"/>
          <w:spacing w:val="-2"/>
          <w:sz w:val="24"/>
          <w:szCs w:val="24"/>
        </w:rPr>
        <w:t>资格后审，不接受联合体。</w:t>
      </w:r>
    </w:p>
    <w:p w14:paraId="51FEF8A6">
      <w:pPr>
        <w:spacing w:before="100" w:line="219" w:lineRule="auto"/>
        <w:ind w:left="1"/>
        <w:rPr>
          <w:rFonts w:ascii="宋体" w:hAnsi="宋体" w:eastAsia="宋体" w:cs="宋体"/>
          <w:sz w:val="24"/>
          <w:szCs w:val="24"/>
        </w:rPr>
      </w:pPr>
      <w:r>
        <w:rPr>
          <w:rFonts w:hint="eastAsia" w:ascii="宋体" w:hAnsi="宋体" w:eastAsia="宋体" w:cs="宋体"/>
          <w:b/>
          <w:bCs/>
          <w:spacing w:val="-3"/>
          <w:sz w:val="24"/>
          <w:szCs w:val="24"/>
          <w:lang w:val="en-US" w:eastAsia="zh-CN"/>
        </w:rPr>
        <w:t>十</w:t>
      </w:r>
      <w:r>
        <w:rPr>
          <w:rFonts w:ascii="宋体" w:hAnsi="宋体" w:eastAsia="宋体" w:cs="宋体"/>
          <w:b/>
          <w:bCs/>
          <w:spacing w:val="-3"/>
          <w:sz w:val="24"/>
          <w:szCs w:val="24"/>
        </w:rPr>
        <w:t>一、采购人的名称、地址和联系人</w:t>
      </w:r>
    </w:p>
    <w:p w14:paraId="607D48C4">
      <w:pPr>
        <w:spacing w:before="183" w:line="219" w:lineRule="auto"/>
        <w:ind w:left="498"/>
        <w:rPr>
          <w:rFonts w:ascii="宋体" w:hAnsi="宋体" w:eastAsia="宋体" w:cs="宋体"/>
          <w:sz w:val="24"/>
          <w:szCs w:val="24"/>
        </w:rPr>
      </w:pPr>
      <w:r>
        <w:rPr>
          <w:rFonts w:ascii="宋体" w:hAnsi="宋体" w:eastAsia="宋体" w:cs="宋体"/>
          <w:spacing w:val="-2"/>
          <w:sz w:val="24"/>
          <w:szCs w:val="24"/>
        </w:rPr>
        <w:t>1、采购人名称：山东济钢环保新材料有限公司</w:t>
      </w:r>
    </w:p>
    <w:p w14:paraId="635BCEDA">
      <w:pPr>
        <w:spacing w:before="183" w:line="219" w:lineRule="auto"/>
        <w:ind w:left="483"/>
        <w:rPr>
          <w:rFonts w:ascii="宋体" w:hAnsi="宋体" w:eastAsia="宋体" w:cs="宋体"/>
          <w:sz w:val="24"/>
          <w:szCs w:val="24"/>
        </w:rPr>
      </w:pPr>
      <w:r>
        <w:rPr>
          <w:rFonts w:ascii="宋体" w:hAnsi="宋体" w:eastAsia="宋体" w:cs="宋体"/>
          <w:spacing w:val="-1"/>
          <w:sz w:val="24"/>
          <w:szCs w:val="24"/>
        </w:rPr>
        <w:t>2、采购人地址：山东省济南市章丘区官庄街道青野村东</w:t>
      </w:r>
    </w:p>
    <w:p w14:paraId="7A23FBD8">
      <w:pPr>
        <w:spacing w:before="183" w:line="220" w:lineRule="auto"/>
        <w:ind w:left="485"/>
        <w:rPr>
          <w:rFonts w:ascii="宋体" w:hAnsi="宋体" w:eastAsia="宋体" w:cs="宋体"/>
          <w:sz w:val="24"/>
          <w:szCs w:val="24"/>
        </w:rPr>
      </w:pPr>
      <w:r>
        <w:rPr>
          <w:rFonts w:ascii="宋体" w:hAnsi="宋体" w:eastAsia="宋体" w:cs="宋体"/>
          <w:spacing w:val="-1"/>
          <w:sz w:val="24"/>
          <w:szCs w:val="24"/>
        </w:rPr>
        <w:t>3、谈判联系人：史工，联系电话：18615514537；</w:t>
      </w:r>
    </w:p>
    <w:p w14:paraId="1D27110B">
      <w:pPr>
        <w:spacing w:before="181" w:line="219" w:lineRule="auto"/>
        <w:ind w:left="480"/>
        <w:rPr>
          <w:rFonts w:ascii="宋体" w:hAnsi="宋体" w:eastAsia="宋体" w:cs="宋体"/>
          <w:sz w:val="24"/>
          <w:szCs w:val="24"/>
        </w:rPr>
      </w:pPr>
      <w:r>
        <w:rPr>
          <w:rFonts w:ascii="宋体" w:hAnsi="宋体" w:eastAsia="宋体" w:cs="宋体"/>
          <w:sz w:val="24"/>
          <w:szCs w:val="24"/>
        </w:rPr>
        <w:t>4、技术联系人：</w:t>
      </w:r>
      <w:r>
        <w:rPr>
          <w:rFonts w:hint="eastAsia" w:ascii="宋体" w:hAnsi="宋体" w:eastAsia="宋体" w:cs="宋体"/>
          <w:sz w:val="24"/>
          <w:szCs w:val="24"/>
          <w:lang w:val="en-US" w:eastAsia="zh-CN"/>
        </w:rPr>
        <w:t>刘工，</w:t>
      </w:r>
      <w:r>
        <w:rPr>
          <w:rFonts w:ascii="宋体" w:hAnsi="宋体" w:eastAsia="宋体" w:cs="宋体"/>
          <w:sz w:val="24"/>
          <w:szCs w:val="24"/>
        </w:rPr>
        <w:t>联系电话：</w:t>
      </w:r>
      <w:r>
        <w:rPr>
          <w:rFonts w:hint="eastAsia" w:ascii="宋体" w:hAnsi="宋体" w:eastAsia="宋体" w:cs="宋体"/>
          <w:sz w:val="24"/>
          <w:szCs w:val="24"/>
          <w:lang w:val="en-US" w:eastAsia="zh-CN"/>
        </w:rPr>
        <w:t>17860787321</w:t>
      </w:r>
      <w:r>
        <w:rPr>
          <w:rFonts w:ascii="宋体" w:hAnsi="宋体" w:eastAsia="宋体" w:cs="宋体"/>
          <w:spacing w:val="-1"/>
          <w:sz w:val="24"/>
          <w:szCs w:val="24"/>
        </w:rPr>
        <w:t>；</w:t>
      </w:r>
    </w:p>
    <w:p w14:paraId="09CFAEFE">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十二、安全要求</w:t>
      </w:r>
    </w:p>
    <w:p w14:paraId="0ED906F8">
      <w:pPr>
        <w:spacing w:before="181" w:line="290" w:lineRule="auto"/>
        <w:ind w:left="8" w:right="2" w:firstLine="490"/>
        <w:rPr>
          <w:rFonts w:ascii="宋体" w:hAnsi="宋体" w:eastAsia="宋体" w:cs="宋体"/>
          <w:sz w:val="24"/>
          <w:szCs w:val="24"/>
        </w:rPr>
      </w:pPr>
      <w:r>
        <w:rPr>
          <w:rFonts w:ascii="宋体" w:hAnsi="宋体" w:eastAsia="宋体" w:cs="宋体"/>
          <w:spacing w:val="2"/>
          <w:sz w:val="24"/>
          <w:szCs w:val="24"/>
        </w:rPr>
        <w:t>参加谈判的人员在</w:t>
      </w:r>
      <w:r>
        <w:rPr>
          <w:rFonts w:ascii="宋体" w:hAnsi="宋体" w:eastAsia="宋体" w:cs="宋体"/>
          <w:spacing w:val="-3"/>
          <w:sz w:val="24"/>
          <w:szCs w:val="24"/>
        </w:rPr>
        <w:t>山东济钢环保新材料有限公司</w:t>
      </w:r>
      <w:r>
        <w:rPr>
          <w:rFonts w:ascii="宋体" w:hAnsi="宋体" w:eastAsia="宋体" w:cs="宋体"/>
          <w:spacing w:val="2"/>
          <w:sz w:val="24"/>
          <w:szCs w:val="24"/>
        </w:rPr>
        <w:t>的一切活动，必须遵守</w:t>
      </w:r>
      <w:r>
        <w:rPr>
          <w:rFonts w:ascii="宋体" w:hAnsi="宋体" w:eastAsia="宋体" w:cs="宋体"/>
          <w:spacing w:val="-3"/>
          <w:sz w:val="24"/>
          <w:szCs w:val="24"/>
        </w:rPr>
        <w:t>山东济钢环保新材料有限公司</w:t>
      </w:r>
      <w:r>
        <w:rPr>
          <w:rFonts w:ascii="宋体" w:hAnsi="宋体" w:eastAsia="宋体" w:cs="宋体"/>
          <w:spacing w:val="-1"/>
          <w:sz w:val="24"/>
          <w:szCs w:val="24"/>
        </w:rPr>
        <w:t>的安全规定。需要现场踏勘时，必须遵</w:t>
      </w:r>
      <w:r>
        <w:rPr>
          <w:rFonts w:ascii="宋体" w:hAnsi="宋体" w:eastAsia="宋体" w:cs="宋体"/>
          <w:spacing w:val="-2"/>
          <w:sz w:val="24"/>
          <w:szCs w:val="24"/>
        </w:rPr>
        <w:t>守安全管理规定，服从现场人员指挥。</w:t>
      </w:r>
    </w:p>
    <w:p w14:paraId="255CC371">
      <w:pPr>
        <w:spacing w:before="183" w:line="218" w:lineRule="auto"/>
        <w:ind w:left="1"/>
        <w:outlineLvl w:val="0"/>
        <w:rPr>
          <w:rFonts w:ascii="宋体" w:hAnsi="宋体" w:eastAsia="宋体" w:cs="宋体"/>
          <w:sz w:val="24"/>
          <w:szCs w:val="24"/>
        </w:rPr>
      </w:pPr>
      <w:r>
        <w:rPr>
          <w:rFonts w:ascii="宋体" w:hAnsi="宋体" w:eastAsia="宋体" w:cs="宋体"/>
          <w:b/>
          <w:bCs/>
          <w:spacing w:val="-3"/>
          <w:sz w:val="24"/>
          <w:szCs w:val="24"/>
        </w:rPr>
        <w:t>十三、公告中的内容和要求以最终的谈判文件为准。</w:t>
      </w:r>
    </w:p>
    <w:p w14:paraId="3D1B6A40">
      <w:pPr>
        <w:pStyle w:val="5"/>
        <w:spacing w:line="285" w:lineRule="auto"/>
      </w:pPr>
    </w:p>
    <w:p w14:paraId="1C23283F">
      <w:pPr>
        <w:pStyle w:val="5"/>
        <w:spacing w:line="285" w:lineRule="auto"/>
      </w:pPr>
    </w:p>
    <w:p w14:paraId="19BCAED1">
      <w:pPr>
        <w:spacing w:before="78" w:line="347" w:lineRule="auto"/>
        <w:ind w:left="5043" w:right="1178" w:hanging="701"/>
        <w:rPr>
          <w:rFonts w:hint="default" w:ascii="宋体" w:hAnsi="宋体" w:eastAsia="宋体" w:cs="宋体"/>
          <w:sz w:val="24"/>
          <w:szCs w:val="24"/>
          <w:highlight w:val="yellow"/>
          <w:lang w:val="en-US"/>
        </w:rPr>
      </w:pPr>
      <w:r>
        <w:rPr>
          <w:rFonts w:ascii="宋体" w:hAnsi="宋体" w:eastAsia="宋体" w:cs="宋体"/>
          <w:spacing w:val="-3"/>
          <w:sz w:val="24"/>
          <w:szCs w:val="24"/>
        </w:rPr>
        <w:t>山东济钢环保新材料有限公司</w:t>
      </w:r>
      <w:r>
        <w:rPr>
          <w:rFonts w:ascii="宋体" w:hAnsi="宋体" w:eastAsia="宋体" w:cs="宋体"/>
          <w:spacing w:val="7"/>
          <w:sz w:val="24"/>
          <w:szCs w:val="24"/>
        </w:rPr>
        <w:t xml:space="preserve"> </w:t>
      </w:r>
      <w:r>
        <w:rPr>
          <w:rFonts w:ascii="宋体" w:hAnsi="宋体" w:eastAsia="宋体" w:cs="宋体"/>
          <w:spacing w:val="-9"/>
          <w:sz w:val="24"/>
          <w:szCs w:val="24"/>
        </w:rPr>
        <w:t>202</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年</w:t>
      </w:r>
      <w:r>
        <w:rPr>
          <w:rFonts w:ascii="宋体" w:hAnsi="宋体" w:eastAsia="宋体" w:cs="宋体"/>
          <w:spacing w:val="-32"/>
          <w:sz w:val="24"/>
          <w:szCs w:val="24"/>
        </w:rPr>
        <w:t xml:space="preserve"> </w:t>
      </w:r>
      <w:r>
        <w:rPr>
          <w:rFonts w:hint="eastAsia" w:ascii="宋体" w:hAnsi="宋体" w:eastAsia="宋体" w:cs="宋体"/>
          <w:spacing w:val="-9"/>
          <w:sz w:val="24"/>
          <w:szCs w:val="24"/>
          <w:highlight w:val="yellow"/>
          <w:lang w:val="en-US" w:eastAsia="zh-CN"/>
        </w:rPr>
        <w:t xml:space="preserve">11 </w:t>
      </w:r>
      <w:r>
        <w:rPr>
          <w:rFonts w:ascii="宋体" w:hAnsi="宋体" w:eastAsia="宋体" w:cs="宋体"/>
          <w:spacing w:val="-9"/>
          <w:sz w:val="24"/>
          <w:szCs w:val="24"/>
          <w:highlight w:val="yellow"/>
        </w:rPr>
        <w:t>月</w:t>
      </w:r>
      <w:r>
        <w:rPr>
          <w:rFonts w:hint="eastAsia" w:ascii="宋体" w:hAnsi="宋体" w:eastAsia="宋体" w:cs="宋体"/>
          <w:spacing w:val="-9"/>
          <w:sz w:val="24"/>
          <w:szCs w:val="24"/>
          <w:highlight w:val="yellow"/>
          <w:lang w:val="en-US" w:eastAsia="zh-CN"/>
        </w:rPr>
        <w:t>17</w:t>
      </w:r>
      <w:r>
        <w:rPr>
          <w:rFonts w:hint="eastAsia" w:ascii="宋体" w:hAnsi="宋体" w:eastAsia="宋体" w:cs="宋体"/>
          <w:spacing w:val="-49"/>
          <w:sz w:val="24"/>
          <w:szCs w:val="24"/>
          <w:highlight w:val="yellow"/>
          <w:lang w:val="en-US" w:eastAsia="zh-CN"/>
        </w:rPr>
        <w:t>日</w:t>
      </w:r>
    </w:p>
    <w:p w14:paraId="7DF13F53">
      <w:pPr>
        <w:spacing w:line="347" w:lineRule="auto"/>
        <w:rPr>
          <w:rFonts w:ascii="宋体" w:hAnsi="宋体" w:eastAsia="宋体" w:cs="宋体"/>
          <w:sz w:val="24"/>
          <w:szCs w:val="24"/>
        </w:rPr>
        <w:sectPr>
          <w:footerReference r:id="rId6" w:type="default"/>
          <w:pgSz w:w="11906" w:h="16839"/>
          <w:pgMar w:top="1431" w:right="1643" w:bottom="1156" w:left="1652" w:header="0" w:footer="994" w:gutter="0"/>
          <w:cols w:space="720" w:num="1"/>
        </w:sectPr>
      </w:pPr>
    </w:p>
    <w:p w14:paraId="3430B64B">
      <w:pPr>
        <w:spacing w:before="273" w:line="224" w:lineRule="auto"/>
        <w:ind w:left="3458"/>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谈判须知</w:t>
      </w:r>
    </w:p>
    <w:p w14:paraId="67365CFF">
      <w:pPr>
        <w:spacing w:before="222" w:line="224" w:lineRule="auto"/>
        <w:ind w:left="3800"/>
        <w:outlineLvl w:val="1"/>
        <w:rPr>
          <w:rFonts w:ascii="宋体" w:hAnsi="宋体" w:eastAsia="宋体" w:cs="宋体"/>
          <w:sz w:val="31"/>
          <w:szCs w:val="31"/>
        </w:rPr>
      </w:pPr>
      <w:r>
        <w:rPr>
          <w:rFonts w:ascii="宋体" w:hAnsi="宋体" w:eastAsia="宋体" w:cs="宋体"/>
          <w:spacing w:val="5"/>
          <w:sz w:val="30"/>
          <w:szCs w:val="30"/>
        </w:rPr>
        <w:t>谈判</w:t>
      </w:r>
      <w:r>
        <w:rPr>
          <w:rFonts w:ascii="宋体" w:hAnsi="宋体" w:eastAsia="宋体" w:cs="宋体"/>
          <w:spacing w:val="5"/>
          <w:sz w:val="31"/>
          <w:szCs w:val="31"/>
        </w:rPr>
        <w:t>须知前附表</w:t>
      </w:r>
    </w:p>
    <w:p w14:paraId="52B422A0">
      <w:pPr>
        <w:spacing w:line="173" w:lineRule="exact"/>
      </w:pPr>
    </w:p>
    <w:tbl>
      <w:tblPr>
        <w:tblStyle w:val="11"/>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2DCFA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62" w:type="dxa"/>
            <w:vAlign w:val="top"/>
          </w:tcPr>
          <w:p w14:paraId="4E35D115">
            <w:pPr>
              <w:pStyle w:val="12"/>
              <w:spacing w:before="248" w:line="219" w:lineRule="auto"/>
              <w:ind w:left="128"/>
            </w:pPr>
            <w:r>
              <w:rPr>
                <w:b/>
                <w:bCs/>
                <w:spacing w:val="-6"/>
              </w:rPr>
              <w:t>条款号</w:t>
            </w:r>
          </w:p>
        </w:tc>
        <w:tc>
          <w:tcPr>
            <w:tcW w:w="1659" w:type="dxa"/>
            <w:vAlign w:val="top"/>
          </w:tcPr>
          <w:p w14:paraId="6FC06B9B">
            <w:pPr>
              <w:pStyle w:val="12"/>
              <w:spacing w:before="248" w:line="219" w:lineRule="auto"/>
              <w:ind w:left="354"/>
            </w:pPr>
            <w:r>
              <w:rPr>
                <w:b/>
                <w:bCs/>
                <w:spacing w:val="-5"/>
              </w:rPr>
              <w:t>条款名称</w:t>
            </w:r>
          </w:p>
        </w:tc>
        <w:tc>
          <w:tcPr>
            <w:tcW w:w="7152" w:type="dxa"/>
            <w:vAlign w:val="top"/>
          </w:tcPr>
          <w:p w14:paraId="0DBE4B85">
            <w:pPr>
              <w:pStyle w:val="12"/>
              <w:spacing w:before="229" w:line="219" w:lineRule="auto"/>
              <w:ind w:left="3102"/>
            </w:pPr>
            <w:r>
              <w:rPr>
                <w:b/>
                <w:bCs/>
                <w:spacing w:val="-5"/>
              </w:rPr>
              <w:t>编列内容</w:t>
            </w:r>
          </w:p>
        </w:tc>
      </w:tr>
      <w:tr w14:paraId="1E590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5B3B5DA3">
            <w:pPr>
              <w:pStyle w:val="12"/>
              <w:spacing w:before="89" w:line="184" w:lineRule="auto"/>
              <w:ind w:left="206"/>
            </w:pPr>
            <w:r>
              <w:rPr>
                <w:spacing w:val="-6"/>
              </w:rPr>
              <w:t>1.1.1</w:t>
            </w:r>
          </w:p>
        </w:tc>
        <w:tc>
          <w:tcPr>
            <w:tcW w:w="1659" w:type="dxa"/>
            <w:vAlign w:val="top"/>
          </w:tcPr>
          <w:p w14:paraId="05EA69F9">
            <w:pPr>
              <w:pStyle w:val="12"/>
              <w:spacing w:before="52" w:line="217" w:lineRule="auto"/>
              <w:ind w:left="474"/>
            </w:pPr>
            <w:r>
              <w:rPr>
                <w:spacing w:val="-3"/>
              </w:rPr>
              <w:t>采购人</w:t>
            </w:r>
          </w:p>
        </w:tc>
        <w:tc>
          <w:tcPr>
            <w:tcW w:w="7152" w:type="dxa"/>
            <w:vAlign w:val="top"/>
          </w:tcPr>
          <w:p w14:paraId="1CCDDE21">
            <w:pPr>
              <w:pStyle w:val="12"/>
              <w:spacing w:before="67" w:line="206" w:lineRule="auto"/>
              <w:ind w:left="136"/>
            </w:pPr>
            <w:r>
              <w:rPr>
                <w:spacing w:val="-3"/>
              </w:rPr>
              <w:t>山东济钢环保新材料有限公司</w:t>
            </w:r>
          </w:p>
        </w:tc>
      </w:tr>
      <w:tr w14:paraId="2034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0C9F28EF">
            <w:pPr>
              <w:pStyle w:val="12"/>
              <w:spacing w:before="87" w:line="184" w:lineRule="auto"/>
              <w:ind w:left="206"/>
            </w:pPr>
            <w:r>
              <w:rPr>
                <w:spacing w:val="-6"/>
              </w:rPr>
              <w:t>1.1.2</w:t>
            </w:r>
          </w:p>
        </w:tc>
        <w:tc>
          <w:tcPr>
            <w:tcW w:w="1659" w:type="dxa"/>
            <w:vAlign w:val="top"/>
          </w:tcPr>
          <w:p w14:paraId="107FAFA1">
            <w:pPr>
              <w:pStyle w:val="12"/>
              <w:spacing w:before="50" w:line="219" w:lineRule="auto"/>
              <w:ind w:left="359"/>
            </w:pPr>
            <w:r>
              <w:rPr>
                <w:spacing w:val="-4"/>
              </w:rPr>
              <w:t>项目名称</w:t>
            </w:r>
          </w:p>
        </w:tc>
        <w:tc>
          <w:tcPr>
            <w:tcW w:w="7152" w:type="dxa"/>
            <w:vAlign w:val="top"/>
          </w:tcPr>
          <w:p w14:paraId="4D3B1E9F">
            <w:pPr>
              <w:pStyle w:val="12"/>
              <w:spacing w:before="67" w:line="206" w:lineRule="auto"/>
              <w:ind w:left="136"/>
              <w:rPr>
                <w:rFonts w:hint="eastAsia" w:eastAsia="宋体"/>
                <w:lang w:val="en-US" w:eastAsia="zh-CN"/>
              </w:rPr>
            </w:pPr>
            <w:r>
              <w:rPr>
                <w:rFonts w:hint="eastAsia"/>
              </w:rPr>
              <w:t>山东济钢环保新材料有限公司济南市章丘区官庄弓角湾南建筑石料用灰岩东矿区绿色矿山建设实施方案</w:t>
            </w:r>
            <w:r>
              <w:rPr>
                <w:rFonts w:hint="eastAsia"/>
                <w:lang w:val="en-US" w:eastAsia="zh-CN"/>
              </w:rPr>
              <w:t>编制</w:t>
            </w:r>
          </w:p>
        </w:tc>
      </w:tr>
      <w:tr w14:paraId="70C96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62" w:type="dxa"/>
            <w:vAlign w:val="top"/>
          </w:tcPr>
          <w:p w14:paraId="39315746">
            <w:pPr>
              <w:spacing w:line="362" w:lineRule="auto"/>
              <w:rPr>
                <w:rFonts w:ascii="Arial"/>
                <w:sz w:val="21"/>
              </w:rPr>
            </w:pPr>
          </w:p>
          <w:p w14:paraId="1B7568EB">
            <w:pPr>
              <w:pStyle w:val="12"/>
              <w:spacing w:before="78" w:line="184" w:lineRule="auto"/>
              <w:ind w:left="206"/>
            </w:pPr>
            <w:r>
              <w:rPr>
                <w:spacing w:val="-6"/>
              </w:rPr>
              <w:t>1.1.3</w:t>
            </w:r>
          </w:p>
        </w:tc>
        <w:tc>
          <w:tcPr>
            <w:tcW w:w="1659" w:type="dxa"/>
            <w:vAlign w:val="top"/>
          </w:tcPr>
          <w:p w14:paraId="6C1DF640">
            <w:pPr>
              <w:spacing w:line="326" w:lineRule="auto"/>
              <w:rPr>
                <w:rFonts w:ascii="Arial"/>
                <w:sz w:val="21"/>
              </w:rPr>
            </w:pPr>
          </w:p>
          <w:p w14:paraId="7B15D351">
            <w:pPr>
              <w:pStyle w:val="12"/>
              <w:spacing w:before="78" w:line="220" w:lineRule="auto"/>
              <w:ind w:left="356"/>
            </w:pPr>
            <w:r>
              <w:rPr>
                <w:rFonts w:hint="eastAsia"/>
                <w:spacing w:val="-3"/>
                <w:lang w:val="en-US" w:eastAsia="zh-CN"/>
              </w:rPr>
              <w:t>采购</w:t>
            </w:r>
            <w:r>
              <w:rPr>
                <w:spacing w:val="-3"/>
              </w:rPr>
              <w:t>范围</w:t>
            </w:r>
          </w:p>
        </w:tc>
        <w:tc>
          <w:tcPr>
            <w:tcW w:w="7152" w:type="dxa"/>
            <w:vAlign w:val="top"/>
          </w:tcPr>
          <w:p w14:paraId="0C2BBCF7">
            <w:pPr>
              <w:pStyle w:val="12"/>
              <w:spacing w:before="35" w:line="234" w:lineRule="auto"/>
              <w:ind w:left="115" w:right="108"/>
              <w:jc w:val="both"/>
            </w:pPr>
            <w:r>
              <w:rPr>
                <w:rFonts w:hint="eastAsia"/>
              </w:rPr>
              <w:t>依据国家、省绿色矿山建设标准规范，对照绿色矿山建设评价指标和建设时限要求，结合矿山已有的开发利用方案、初步设计等相关资料，编制《山东济钢环保新材料有限公司济南市章丘区官庄弓角湾南建筑石料用灰岩东矿区绿色矿山建设实施方案》并通过专家评审和自然资源主管部门备案。</w:t>
            </w:r>
          </w:p>
        </w:tc>
      </w:tr>
      <w:tr w14:paraId="5C6AF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962" w:type="dxa"/>
            <w:vAlign w:val="top"/>
          </w:tcPr>
          <w:p w14:paraId="4B8C4B96">
            <w:pPr>
              <w:spacing w:line="256" w:lineRule="auto"/>
              <w:rPr>
                <w:rFonts w:ascii="Arial"/>
                <w:sz w:val="21"/>
              </w:rPr>
            </w:pPr>
          </w:p>
          <w:p w14:paraId="76ADA640">
            <w:pPr>
              <w:pStyle w:val="12"/>
              <w:spacing w:before="78" w:line="184" w:lineRule="auto"/>
              <w:ind w:left="206"/>
            </w:pPr>
            <w:r>
              <w:rPr>
                <w:spacing w:val="-6"/>
              </w:rPr>
              <w:t>1.1.4</w:t>
            </w:r>
          </w:p>
        </w:tc>
        <w:tc>
          <w:tcPr>
            <w:tcW w:w="1659" w:type="dxa"/>
            <w:vAlign w:val="top"/>
          </w:tcPr>
          <w:p w14:paraId="4A3330BF">
            <w:pPr>
              <w:pStyle w:val="12"/>
              <w:spacing w:before="299" w:line="220" w:lineRule="auto"/>
              <w:ind w:left="359"/>
            </w:pPr>
            <w:r>
              <w:rPr>
                <w:spacing w:val="-4"/>
              </w:rPr>
              <w:t>项目地点</w:t>
            </w:r>
          </w:p>
        </w:tc>
        <w:tc>
          <w:tcPr>
            <w:tcW w:w="7152" w:type="dxa"/>
            <w:vAlign w:val="top"/>
          </w:tcPr>
          <w:p w14:paraId="6062D0BA">
            <w:pPr>
              <w:pStyle w:val="12"/>
              <w:spacing w:before="146" w:line="249" w:lineRule="auto"/>
              <w:ind w:left="132" w:right="321" w:firstLine="3"/>
              <w:jc w:val="left"/>
            </w:pPr>
            <w:r>
              <w:rPr>
                <w:spacing w:val="-1"/>
              </w:rPr>
              <w:t>山东省济南市章丘区官庄街道山东济钢环保新材料有限</w:t>
            </w:r>
            <w:r>
              <w:rPr>
                <w:spacing w:val="-2"/>
              </w:rPr>
              <w:t>公司</w:t>
            </w:r>
            <w:r>
              <w:rPr>
                <w:rFonts w:hint="eastAsia"/>
                <w:spacing w:val="-2"/>
                <w:lang w:val="en-US" w:eastAsia="zh-CN"/>
              </w:rPr>
              <w:t>东矿区</w:t>
            </w:r>
          </w:p>
        </w:tc>
      </w:tr>
      <w:tr w14:paraId="16A0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629594EB">
            <w:pPr>
              <w:pStyle w:val="12"/>
              <w:spacing w:before="87" w:line="183" w:lineRule="auto"/>
              <w:ind w:left="206"/>
            </w:pPr>
            <w:r>
              <w:rPr>
                <w:spacing w:val="-6"/>
              </w:rPr>
              <w:t>1.2.1</w:t>
            </w:r>
          </w:p>
        </w:tc>
        <w:tc>
          <w:tcPr>
            <w:tcW w:w="1659" w:type="dxa"/>
            <w:vAlign w:val="top"/>
          </w:tcPr>
          <w:p w14:paraId="79398374">
            <w:pPr>
              <w:pStyle w:val="12"/>
              <w:spacing w:before="49" w:line="212" w:lineRule="auto"/>
              <w:ind w:left="365"/>
            </w:pPr>
            <w:r>
              <w:rPr>
                <w:spacing w:val="-5"/>
              </w:rPr>
              <w:t>资金来源</w:t>
            </w:r>
          </w:p>
        </w:tc>
        <w:tc>
          <w:tcPr>
            <w:tcW w:w="7152" w:type="dxa"/>
            <w:vAlign w:val="top"/>
          </w:tcPr>
          <w:p w14:paraId="60A534B6">
            <w:pPr>
              <w:pStyle w:val="12"/>
              <w:spacing w:before="68" w:line="197" w:lineRule="auto"/>
              <w:ind w:left="153"/>
            </w:pPr>
            <w:r>
              <w:rPr>
                <w:spacing w:val="-13"/>
              </w:rPr>
              <w:t>自有资金</w:t>
            </w:r>
          </w:p>
        </w:tc>
      </w:tr>
      <w:tr w14:paraId="093FA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7C959FEB">
            <w:pPr>
              <w:pStyle w:val="12"/>
              <w:spacing w:before="84" w:line="184" w:lineRule="auto"/>
              <w:ind w:left="206"/>
            </w:pPr>
            <w:r>
              <w:rPr>
                <w:spacing w:val="-6"/>
              </w:rPr>
              <w:t>1.2.2</w:t>
            </w:r>
          </w:p>
        </w:tc>
        <w:tc>
          <w:tcPr>
            <w:tcW w:w="1659" w:type="dxa"/>
            <w:vAlign w:val="top"/>
          </w:tcPr>
          <w:p w14:paraId="6CA2D56C">
            <w:pPr>
              <w:pStyle w:val="12"/>
              <w:spacing w:before="48" w:line="213" w:lineRule="auto"/>
              <w:ind w:left="354"/>
            </w:pPr>
            <w:r>
              <w:rPr>
                <w:spacing w:val="-3"/>
              </w:rPr>
              <w:t>采购方式</w:t>
            </w:r>
          </w:p>
        </w:tc>
        <w:tc>
          <w:tcPr>
            <w:tcW w:w="7152" w:type="dxa"/>
            <w:vAlign w:val="top"/>
          </w:tcPr>
          <w:p w14:paraId="10C59BFC">
            <w:pPr>
              <w:pStyle w:val="12"/>
              <w:spacing w:before="70" w:line="196" w:lineRule="auto"/>
              <w:ind w:left="117"/>
            </w:pPr>
            <w:r>
              <w:rPr>
                <w:spacing w:val="-2"/>
              </w:rPr>
              <w:t>竞争性谈判，资格后审</w:t>
            </w:r>
          </w:p>
        </w:tc>
      </w:tr>
      <w:tr w14:paraId="3A563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62" w:type="dxa"/>
            <w:vAlign w:val="top"/>
          </w:tcPr>
          <w:p w14:paraId="5C253CD4">
            <w:pPr>
              <w:pStyle w:val="12"/>
              <w:spacing w:before="193" w:line="184" w:lineRule="auto"/>
              <w:ind w:left="206"/>
            </w:pPr>
            <w:r>
              <w:rPr>
                <w:spacing w:val="-6"/>
              </w:rPr>
              <w:t>1.3.1</w:t>
            </w:r>
          </w:p>
        </w:tc>
        <w:tc>
          <w:tcPr>
            <w:tcW w:w="1659" w:type="dxa"/>
            <w:vAlign w:val="top"/>
          </w:tcPr>
          <w:p w14:paraId="34A04B81">
            <w:pPr>
              <w:pStyle w:val="12"/>
              <w:spacing w:before="178" w:line="219" w:lineRule="auto"/>
              <w:ind w:left="354"/>
            </w:pPr>
            <w:r>
              <w:rPr>
                <w:spacing w:val="-3"/>
              </w:rPr>
              <w:t>采购范围</w:t>
            </w:r>
          </w:p>
        </w:tc>
        <w:tc>
          <w:tcPr>
            <w:tcW w:w="7152" w:type="dxa"/>
            <w:vAlign w:val="top"/>
          </w:tcPr>
          <w:p w14:paraId="507BA92E">
            <w:pPr>
              <w:pStyle w:val="12"/>
              <w:spacing w:before="156" w:line="219" w:lineRule="auto"/>
              <w:ind w:left="126"/>
            </w:pPr>
            <w:r>
              <w:rPr>
                <w:spacing w:val="-2"/>
              </w:rPr>
              <w:t>（详见第五章技术部分）</w:t>
            </w:r>
          </w:p>
        </w:tc>
      </w:tr>
      <w:tr w14:paraId="5D2B5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30BABA54">
            <w:pPr>
              <w:pStyle w:val="12"/>
              <w:spacing w:before="85" w:line="184" w:lineRule="auto"/>
              <w:ind w:left="206"/>
            </w:pPr>
            <w:r>
              <w:rPr>
                <w:spacing w:val="-6"/>
              </w:rPr>
              <w:t>1.3.2</w:t>
            </w:r>
          </w:p>
        </w:tc>
        <w:tc>
          <w:tcPr>
            <w:tcW w:w="1659" w:type="dxa"/>
            <w:vAlign w:val="top"/>
          </w:tcPr>
          <w:p w14:paraId="4A5FBCCC">
            <w:pPr>
              <w:pStyle w:val="12"/>
              <w:spacing w:before="78" w:line="190" w:lineRule="auto"/>
              <w:ind w:left="355"/>
            </w:pPr>
            <w:r>
              <w:rPr>
                <w:spacing w:val="-3"/>
              </w:rPr>
              <w:t>计划工期</w:t>
            </w:r>
          </w:p>
        </w:tc>
        <w:tc>
          <w:tcPr>
            <w:tcW w:w="7152" w:type="dxa"/>
            <w:vAlign w:val="top"/>
          </w:tcPr>
          <w:p w14:paraId="7B46988B">
            <w:pPr>
              <w:pStyle w:val="12"/>
              <w:spacing w:before="78" w:line="190" w:lineRule="auto"/>
              <w:ind w:left="114"/>
              <w:rPr>
                <w:highlight w:val="none"/>
              </w:rPr>
            </w:pPr>
            <w:r>
              <w:rPr>
                <w:rFonts w:hint="eastAsia" w:ascii="Times New Roman" w:hAnsi="Times New Roman" w:cs="Times New Roman"/>
                <w:spacing w:val="-1"/>
                <w:highlight w:val="none"/>
                <w:lang w:val="en-US" w:eastAsia="zh-CN"/>
              </w:rPr>
              <w:t>90</w:t>
            </w:r>
            <w:r>
              <w:rPr>
                <w:spacing w:val="-1"/>
                <w:highlight w:val="none"/>
              </w:rPr>
              <w:t>天，合同生效当日开始</w:t>
            </w:r>
          </w:p>
        </w:tc>
      </w:tr>
      <w:tr w14:paraId="4262D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62" w:type="dxa"/>
            <w:vAlign w:val="top"/>
          </w:tcPr>
          <w:p w14:paraId="351162CA">
            <w:pPr>
              <w:spacing w:line="246" w:lineRule="auto"/>
              <w:rPr>
                <w:rFonts w:ascii="Arial"/>
                <w:sz w:val="21"/>
              </w:rPr>
            </w:pPr>
          </w:p>
          <w:p w14:paraId="2C7D80FB">
            <w:pPr>
              <w:pStyle w:val="12"/>
              <w:spacing w:before="78" w:line="184" w:lineRule="auto"/>
              <w:ind w:left="206"/>
            </w:pPr>
            <w:r>
              <w:rPr>
                <w:spacing w:val="-6"/>
              </w:rPr>
              <w:t>1.3.3</w:t>
            </w:r>
          </w:p>
        </w:tc>
        <w:tc>
          <w:tcPr>
            <w:tcW w:w="1659" w:type="dxa"/>
            <w:vAlign w:val="top"/>
          </w:tcPr>
          <w:p w14:paraId="4A0216A5">
            <w:pPr>
              <w:pStyle w:val="12"/>
              <w:spacing w:before="289" w:line="222" w:lineRule="auto"/>
              <w:ind w:left="354"/>
            </w:pPr>
            <w:r>
              <w:rPr>
                <w:spacing w:val="-3"/>
              </w:rPr>
              <w:t>施工地点</w:t>
            </w:r>
          </w:p>
        </w:tc>
        <w:tc>
          <w:tcPr>
            <w:tcW w:w="7152" w:type="dxa"/>
            <w:vAlign w:val="top"/>
          </w:tcPr>
          <w:p w14:paraId="1ABCBCED">
            <w:pPr>
              <w:pStyle w:val="12"/>
              <w:spacing w:before="136" w:line="249" w:lineRule="auto"/>
              <w:ind w:left="132" w:right="321" w:firstLine="3"/>
            </w:pPr>
            <w:r>
              <w:rPr>
                <w:spacing w:val="-1"/>
              </w:rPr>
              <w:t>山东省济南市章丘区官庄街道山东济钢环保新材料有限</w:t>
            </w:r>
            <w:r>
              <w:rPr>
                <w:spacing w:val="-2"/>
              </w:rPr>
              <w:t>公司</w:t>
            </w:r>
            <w:r>
              <w:rPr>
                <w:rFonts w:hint="eastAsia"/>
                <w:spacing w:val="-2"/>
                <w:lang w:val="en-US" w:eastAsia="zh-CN"/>
              </w:rPr>
              <w:t>东矿区</w:t>
            </w:r>
          </w:p>
        </w:tc>
      </w:tr>
      <w:tr w14:paraId="0788E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3027E7FF">
            <w:pPr>
              <w:pStyle w:val="12"/>
              <w:spacing w:before="85" w:line="184" w:lineRule="auto"/>
              <w:ind w:left="206"/>
            </w:pPr>
            <w:r>
              <w:rPr>
                <w:spacing w:val="-6"/>
              </w:rPr>
              <w:t>1.3.4</w:t>
            </w:r>
          </w:p>
        </w:tc>
        <w:tc>
          <w:tcPr>
            <w:tcW w:w="1659" w:type="dxa"/>
            <w:vAlign w:val="top"/>
          </w:tcPr>
          <w:p w14:paraId="3CA6637C">
            <w:pPr>
              <w:pStyle w:val="12"/>
              <w:spacing w:before="49" w:line="212" w:lineRule="auto"/>
              <w:ind w:left="476"/>
            </w:pPr>
            <w:r>
              <w:rPr>
                <w:spacing w:val="-4"/>
              </w:rPr>
              <w:t>质保期</w:t>
            </w:r>
          </w:p>
        </w:tc>
        <w:tc>
          <w:tcPr>
            <w:tcW w:w="7152" w:type="dxa"/>
            <w:vAlign w:val="top"/>
          </w:tcPr>
          <w:p w14:paraId="5F814938">
            <w:pPr>
              <w:pStyle w:val="12"/>
              <w:spacing w:before="70" w:line="196" w:lineRule="auto"/>
              <w:ind w:left="116"/>
            </w:pPr>
            <w:r>
              <w:t>无</w:t>
            </w:r>
          </w:p>
        </w:tc>
      </w:tr>
      <w:tr w14:paraId="156BB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962" w:type="dxa"/>
            <w:vAlign w:val="top"/>
          </w:tcPr>
          <w:p w14:paraId="1BF2AFBA">
            <w:pPr>
              <w:spacing w:line="269" w:lineRule="auto"/>
              <w:rPr>
                <w:rFonts w:ascii="Arial"/>
                <w:sz w:val="21"/>
              </w:rPr>
            </w:pPr>
          </w:p>
          <w:p w14:paraId="53DF3B6F">
            <w:pPr>
              <w:spacing w:line="269" w:lineRule="auto"/>
              <w:rPr>
                <w:rFonts w:ascii="Arial"/>
                <w:sz w:val="21"/>
              </w:rPr>
            </w:pPr>
          </w:p>
          <w:p w14:paraId="66C98C14">
            <w:pPr>
              <w:spacing w:line="269" w:lineRule="auto"/>
              <w:rPr>
                <w:rFonts w:ascii="Arial"/>
                <w:sz w:val="21"/>
              </w:rPr>
            </w:pPr>
          </w:p>
          <w:p w14:paraId="52B68DA1">
            <w:pPr>
              <w:spacing w:line="270" w:lineRule="auto"/>
              <w:rPr>
                <w:rFonts w:ascii="Arial"/>
                <w:sz w:val="21"/>
              </w:rPr>
            </w:pPr>
          </w:p>
          <w:p w14:paraId="6C71C5C1">
            <w:pPr>
              <w:pStyle w:val="12"/>
              <w:spacing w:before="78" w:line="184" w:lineRule="auto"/>
              <w:ind w:left="206"/>
            </w:pPr>
            <w:r>
              <w:rPr>
                <w:spacing w:val="-6"/>
              </w:rPr>
              <w:t>1.4.1</w:t>
            </w:r>
          </w:p>
        </w:tc>
        <w:tc>
          <w:tcPr>
            <w:tcW w:w="1659" w:type="dxa"/>
            <w:vAlign w:val="center"/>
          </w:tcPr>
          <w:p w14:paraId="1FE7FB75">
            <w:pPr>
              <w:spacing w:line="240" w:lineRule="auto"/>
              <w:jc w:val="center"/>
            </w:pPr>
            <w:r>
              <w:rPr>
                <w:rFonts w:hint="eastAsia" w:ascii="宋体" w:hAnsi="宋体" w:cs="宋体"/>
                <w:sz w:val="24"/>
                <w:szCs w:val="24"/>
              </w:rPr>
              <w:t>资格审查</w:t>
            </w:r>
          </w:p>
        </w:tc>
        <w:tc>
          <w:tcPr>
            <w:tcW w:w="7152" w:type="dxa"/>
            <w:vAlign w:val="center"/>
          </w:tcPr>
          <w:p w14:paraId="5FE87764">
            <w:pPr>
              <w:spacing w:line="3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资格审查方式：资格后审</w:t>
            </w:r>
          </w:p>
          <w:p w14:paraId="61943026">
            <w:pPr>
              <w:spacing w:line="340" w:lineRule="exact"/>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委员会对</w:t>
            </w:r>
            <w:r>
              <w:rPr>
                <w:rFonts w:hint="eastAsia" w:ascii="宋体" w:hAnsi="宋体" w:eastAsia="宋体" w:cs="宋体"/>
                <w:sz w:val="24"/>
                <w:szCs w:val="24"/>
                <w:lang w:val="en-US" w:eastAsia="zh-CN"/>
              </w:rPr>
              <w:t>各</w:t>
            </w:r>
            <w:r>
              <w:rPr>
                <w:rFonts w:hint="eastAsia" w:ascii="宋体" w:hAnsi="宋体" w:eastAsia="宋体" w:cs="宋体"/>
                <w:sz w:val="24"/>
                <w:szCs w:val="24"/>
                <w:lang w:val="zh-CN"/>
              </w:rPr>
              <w:t>单位的资格审查文件进行评审，评审</w:t>
            </w:r>
            <w:r>
              <w:rPr>
                <w:rFonts w:hint="eastAsia" w:ascii="宋体" w:hAnsi="宋体" w:eastAsia="宋体" w:cs="宋体"/>
                <w:sz w:val="24"/>
                <w:szCs w:val="24"/>
                <w:lang w:val="en-US" w:eastAsia="zh-CN"/>
              </w:rPr>
              <w:t>不</w:t>
            </w:r>
            <w:r>
              <w:rPr>
                <w:rFonts w:hint="eastAsia" w:ascii="宋体" w:hAnsi="宋体" w:eastAsia="宋体" w:cs="宋体"/>
                <w:sz w:val="24"/>
                <w:szCs w:val="24"/>
                <w:lang w:val="zh-CN"/>
              </w:rPr>
              <w:t>合格的</w:t>
            </w:r>
            <w:r>
              <w:rPr>
                <w:rFonts w:hint="eastAsia" w:ascii="宋体" w:hAnsi="宋体" w:eastAsia="宋体" w:cs="宋体"/>
                <w:sz w:val="24"/>
                <w:szCs w:val="24"/>
                <w:lang w:val="en-US" w:eastAsia="zh-CN"/>
              </w:rPr>
              <w:t>供应商不</w:t>
            </w:r>
            <w:r>
              <w:rPr>
                <w:rFonts w:hint="eastAsia" w:ascii="宋体" w:hAnsi="宋体" w:eastAsia="宋体" w:cs="宋体"/>
                <w:sz w:val="24"/>
                <w:szCs w:val="24"/>
                <w:lang w:val="zh-CN"/>
              </w:rPr>
              <w:t>进入下一阶段评审。</w:t>
            </w:r>
          </w:p>
          <w:p w14:paraId="04E5AC43">
            <w:pPr>
              <w:spacing w:line="240" w:lineRule="auto"/>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在资格审查文件中按照《公告》 “四、</w:t>
            </w:r>
            <w:r>
              <w:rPr>
                <w:rFonts w:hint="eastAsia" w:ascii="宋体" w:hAnsi="宋体" w:eastAsia="宋体" w:cs="宋体"/>
                <w:sz w:val="24"/>
                <w:szCs w:val="24"/>
                <w:lang w:val="en-US" w:eastAsia="zh-CN"/>
              </w:rPr>
              <w:t>供应商的</w:t>
            </w:r>
            <w:r>
              <w:rPr>
                <w:rFonts w:hint="eastAsia" w:ascii="宋体" w:hAnsi="宋体" w:eastAsia="宋体" w:cs="宋体"/>
                <w:sz w:val="24"/>
                <w:szCs w:val="24"/>
                <w:lang w:val="zh-CN"/>
              </w:rPr>
              <w:t>资格要求”逐条对应编写，提供能够证明自身资质能力的相关材料，包括但不限于：营业执照、资质证书、体系认证、财务报表、合同、验收证明、证书等。</w:t>
            </w:r>
          </w:p>
        </w:tc>
      </w:tr>
      <w:tr w14:paraId="7A317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25992DAF">
            <w:pPr>
              <w:pStyle w:val="12"/>
              <w:spacing w:before="234" w:line="184" w:lineRule="auto"/>
              <w:ind w:left="206"/>
            </w:pPr>
            <w:r>
              <w:rPr>
                <w:spacing w:val="-6"/>
              </w:rPr>
              <w:t>1.4.2</w:t>
            </w:r>
          </w:p>
        </w:tc>
        <w:tc>
          <w:tcPr>
            <w:tcW w:w="1659" w:type="dxa"/>
            <w:vAlign w:val="top"/>
          </w:tcPr>
          <w:p w14:paraId="33109C02">
            <w:pPr>
              <w:pStyle w:val="12"/>
              <w:spacing w:before="41" w:line="222" w:lineRule="auto"/>
              <w:ind w:left="715" w:right="108" w:hanging="596"/>
            </w:pPr>
            <w:r>
              <w:rPr>
                <w:spacing w:val="-3"/>
              </w:rPr>
              <w:t>是否接受联合</w:t>
            </w:r>
            <w:r>
              <w:rPr>
                <w:spacing w:val="3"/>
              </w:rPr>
              <w:t xml:space="preserve"> </w:t>
            </w:r>
            <w:r>
              <w:t>体</w:t>
            </w:r>
          </w:p>
        </w:tc>
        <w:tc>
          <w:tcPr>
            <w:tcW w:w="7152" w:type="dxa"/>
            <w:vAlign w:val="top"/>
          </w:tcPr>
          <w:p w14:paraId="3A80E5A2">
            <w:pPr>
              <w:pStyle w:val="12"/>
              <w:spacing w:before="214" w:line="221" w:lineRule="auto"/>
              <w:ind w:left="118"/>
              <w:rPr>
                <w:rFonts w:hint="eastAsia" w:eastAsia="宋体"/>
                <w:lang w:val="en-US" w:eastAsia="zh-CN"/>
              </w:rPr>
            </w:pPr>
            <w:r>
              <w:rPr>
                <w:spacing w:val="-5"/>
              </w:rPr>
              <w:t>不</w:t>
            </w:r>
            <w:r>
              <w:rPr>
                <w:rFonts w:hint="eastAsia"/>
                <w:spacing w:val="-5"/>
                <w:lang w:val="en-US" w:eastAsia="zh-CN"/>
              </w:rPr>
              <w:t>接受</w:t>
            </w:r>
          </w:p>
        </w:tc>
      </w:tr>
      <w:tr w14:paraId="7764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65EA4EEC">
            <w:pPr>
              <w:pStyle w:val="12"/>
              <w:spacing w:before="234" w:line="184" w:lineRule="auto"/>
              <w:ind w:left="326"/>
              <w:rPr>
                <w:rFonts w:hint="default" w:eastAsia="宋体"/>
                <w:lang w:val="en-US" w:eastAsia="zh-CN"/>
              </w:rPr>
            </w:pPr>
            <w:r>
              <w:rPr>
                <w:rFonts w:hint="eastAsia"/>
                <w:spacing w:val="-10"/>
                <w:lang w:val="en-US" w:eastAsia="zh-CN"/>
              </w:rPr>
              <w:t>1.5</w:t>
            </w:r>
          </w:p>
        </w:tc>
        <w:tc>
          <w:tcPr>
            <w:tcW w:w="1659" w:type="dxa"/>
            <w:vAlign w:val="top"/>
          </w:tcPr>
          <w:p w14:paraId="3A58EE2A">
            <w:pPr>
              <w:pStyle w:val="12"/>
              <w:spacing w:before="41" w:line="222" w:lineRule="auto"/>
              <w:ind w:left="596" w:right="108" w:hanging="477"/>
            </w:pPr>
            <w:r>
              <w:rPr>
                <w:spacing w:val="-3"/>
              </w:rPr>
              <w:t>是否组织现场</w:t>
            </w:r>
            <w:r>
              <w:rPr>
                <w:spacing w:val="3"/>
              </w:rPr>
              <w:t xml:space="preserve"> </w:t>
            </w:r>
            <w:r>
              <w:rPr>
                <w:spacing w:val="-6"/>
              </w:rPr>
              <w:t>踏勘</w:t>
            </w:r>
          </w:p>
        </w:tc>
        <w:tc>
          <w:tcPr>
            <w:tcW w:w="7152" w:type="dxa"/>
            <w:vAlign w:val="top"/>
          </w:tcPr>
          <w:p w14:paraId="4D9E07BE">
            <w:pPr>
              <w:pStyle w:val="12"/>
              <w:spacing w:before="214" w:line="219" w:lineRule="auto"/>
              <w:ind w:left="118"/>
            </w:pPr>
            <w:r>
              <w:rPr>
                <w:spacing w:val="-2"/>
              </w:rPr>
              <w:t>不统一组织现场踏勘</w:t>
            </w:r>
          </w:p>
        </w:tc>
      </w:tr>
      <w:tr w14:paraId="1D16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62" w:type="dxa"/>
            <w:vAlign w:val="top"/>
          </w:tcPr>
          <w:p w14:paraId="2A179339">
            <w:pPr>
              <w:pStyle w:val="12"/>
              <w:spacing w:before="92" w:line="184" w:lineRule="auto"/>
              <w:ind w:left="266"/>
              <w:rPr>
                <w:rFonts w:hint="default" w:eastAsia="宋体"/>
                <w:lang w:val="en-US" w:eastAsia="zh-CN"/>
              </w:rPr>
            </w:pPr>
            <w:r>
              <w:rPr>
                <w:rFonts w:hint="eastAsia"/>
                <w:spacing w:val="-7"/>
                <w:lang w:val="en-US" w:eastAsia="zh-CN"/>
              </w:rPr>
              <w:t>1.6</w:t>
            </w:r>
          </w:p>
        </w:tc>
        <w:tc>
          <w:tcPr>
            <w:tcW w:w="1659" w:type="dxa"/>
            <w:vAlign w:val="top"/>
          </w:tcPr>
          <w:p w14:paraId="5334282B">
            <w:pPr>
              <w:pStyle w:val="12"/>
              <w:spacing w:before="56" w:line="216" w:lineRule="auto"/>
              <w:ind w:left="234"/>
            </w:pPr>
            <w:r>
              <w:rPr>
                <w:spacing w:val="-2"/>
              </w:rPr>
              <w:t>谈判预备会</w:t>
            </w:r>
          </w:p>
        </w:tc>
        <w:tc>
          <w:tcPr>
            <w:tcW w:w="7152" w:type="dxa"/>
            <w:vAlign w:val="top"/>
          </w:tcPr>
          <w:p w14:paraId="09B3B32F">
            <w:pPr>
              <w:pStyle w:val="12"/>
              <w:spacing w:before="71" w:line="204" w:lineRule="auto"/>
              <w:ind w:left="118"/>
            </w:pPr>
            <w:r>
              <w:rPr>
                <w:spacing w:val="-5"/>
              </w:rPr>
              <w:t>不召开</w:t>
            </w:r>
          </w:p>
        </w:tc>
      </w:tr>
    </w:tbl>
    <w:p w14:paraId="567D51D7">
      <w:pPr>
        <w:sectPr>
          <w:footerReference r:id="rId7" w:type="default"/>
          <w:pgSz w:w="11906" w:h="16839"/>
          <w:pgMar w:top="1431" w:right="1064" w:bottom="1156" w:left="1063" w:header="0" w:footer="994" w:gutter="0"/>
          <w:cols w:space="720" w:num="1"/>
        </w:sectPr>
      </w:pPr>
    </w:p>
    <w:tbl>
      <w:tblPr>
        <w:tblStyle w:val="11"/>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20D21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2" w:type="dxa"/>
            <w:vAlign w:val="top"/>
          </w:tcPr>
          <w:p w14:paraId="3CE2F607">
            <w:pPr>
              <w:spacing w:line="278" w:lineRule="auto"/>
              <w:rPr>
                <w:rFonts w:ascii="Arial"/>
                <w:sz w:val="21"/>
              </w:rPr>
            </w:pPr>
          </w:p>
          <w:p w14:paraId="1B5A9541">
            <w:pPr>
              <w:spacing w:line="278" w:lineRule="auto"/>
              <w:rPr>
                <w:rFonts w:ascii="Arial"/>
                <w:sz w:val="21"/>
              </w:rPr>
            </w:pPr>
          </w:p>
          <w:p w14:paraId="4A39B892">
            <w:pPr>
              <w:pStyle w:val="12"/>
              <w:spacing w:before="78" w:line="184" w:lineRule="auto"/>
              <w:ind w:left="192"/>
              <w:rPr>
                <w:rFonts w:hint="default" w:eastAsia="宋体"/>
                <w:lang w:val="en-US" w:eastAsia="zh-CN"/>
              </w:rPr>
            </w:pPr>
            <w:r>
              <w:rPr>
                <w:rFonts w:hint="eastAsia"/>
                <w:spacing w:val="-3"/>
                <w:lang w:val="en-US" w:eastAsia="zh-CN"/>
              </w:rPr>
              <w:t>2.1</w:t>
            </w:r>
          </w:p>
        </w:tc>
        <w:tc>
          <w:tcPr>
            <w:tcW w:w="1659" w:type="dxa"/>
            <w:vAlign w:val="top"/>
          </w:tcPr>
          <w:p w14:paraId="772AD003">
            <w:pPr>
              <w:spacing w:line="363" w:lineRule="auto"/>
              <w:rPr>
                <w:rFonts w:ascii="Arial"/>
                <w:sz w:val="21"/>
              </w:rPr>
            </w:pPr>
          </w:p>
          <w:p w14:paraId="1CBB3026">
            <w:pPr>
              <w:pStyle w:val="12"/>
              <w:spacing w:before="78" w:line="263" w:lineRule="auto"/>
              <w:ind w:left="714" w:right="108" w:hanging="600"/>
            </w:pPr>
            <w:r>
              <w:rPr>
                <w:spacing w:val="-2"/>
              </w:rPr>
              <w:t>谈判文件的发</w:t>
            </w:r>
            <w:r>
              <w:rPr>
                <w:spacing w:val="2"/>
              </w:rPr>
              <w:t xml:space="preserve"> </w:t>
            </w:r>
            <w:r>
              <w:t>布</w:t>
            </w:r>
          </w:p>
        </w:tc>
        <w:tc>
          <w:tcPr>
            <w:tcW w:w="7152" w:type="dxa"/>
            <w:vAlign w:val="top"/>
          </w:tcPr>
          <w:p w14:paraId="0AC2ED9B">
            <w:pPr>
              <w:pStyle w:val="12"/>
              <w:spacing w:before="107" w:line="210" w:lineRule="auto"/>
              <w:ind w:left="115"/>
            </w:pPr>
            <w:r>
              <w:rPr>
                <w:spacing w:val="-1"/>
              </w:rPr>
              <w:t>本谈判文件在济钢集团有限公司阳光购销平台（网址：</w:t>
            </w:r>
          </w:p>
          <w:p w14:paraId="4ADB83F8">
            <w:pPr>
              <w:pStyle w:val="12"/>
              <w:spacing w:before="66" w:line="252" w:lineRule="auto"/>
              <w:ind w:left="113" w:right="108" w:hanging="2"/>
              <w:jc w:val="both"/>
            </w:pPr>
            <w:r>
              <w:fldChar w:fldCharType="begin"/>
            </w:r>
            <w:r>
              <w:instrText xml:space="preserve"> HYPERLINK "http://bidding.jigang.com.cn" </w:instrText>
            </w:r>
            <w:r>
              <w:fldChar w:fldCharType="separate"/>
            </w:r>
            <w:r>
              <w:rPr>
                <w:spacing w:val="-1"/>
              </w:rPr>
              <w:t>http://bidding.jigang.com.cn</w:t>
            </w:r>
            <w:r>
              <w:rPr>
                <w:spacing w:val="-1"/>
              </w:rPr>
              <w:fldChar w:fldCharType="end"/>
            </w:r>
            <w:r>
              <w:rPr>
                <w:spacing w:val="-1"/>
              </w:rPr>
              <w:t>/） 上发布。除上述媒介以外的媒</w:t>
            </w:r>
            <w:r>
              <w:rPr>
                <w:spacing w:val="10"/>
              </w:rPr>
              <w:t xml:space="preserve"> </w:t>
            </w:r>
            <w:r>
              <w:rPr>
                <w:spacing w:val="-1"/>
              </w:rPr>
              <w:t>介转载或发布与本次谈判相关信息的，采购人不</w:t>
            </w:r>
            <w:r>
              <w:rPr>
                <w:spacing w:val="-2"/>
              </w:rPr>
              <w:t>承担任何责任并保</w:t>
            </w:r>
            <w:r>
              <w:t xml:space="preserve"> </w:t>
            </w:r>
            <w:r>
              <w:rPr>
                <w:spacing w:val="-1"/>
              </w:rPr>
              <w:t>留追究相关方责任的权利。</w:t>
            </w:r>
          </w:p>
        </w:tc>
      </w:tr>
      <w:tr w14:paraId="7EB5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62" w:type="dxa"/>
            <w:vAlign w:val="top"/>
          </w:tcPr>
          <w:p w14:paraId="7C0F4296">
            <w:pPr>
              <w:spacing w:line="282" w:lineRule="auto"/>
              <w:rPr>
                <w:rFonts w:ascii="Arial"/>
                <w:sz w:val="21"/>
              </w:rPr>
            </w:pPr>
          </w:p>
          <w:p w14:paraId="6705E86F">
            <w:pPr>
              <w:pStyle w:val="12"/>
              <w:spacing w:before="78" w:line="183" w:lineRule="auto"/>
              <w:ind w:left="192"/>
            </w:pPr>
            <w:r>
              <w:rPr>
                <w:spacing w:val="-3"/>
              </w:rPr>
              <w:t>2.2</w:t>
            </w:r>
          </w:p>
        </w:tc>
        <w:tc>
          <w:tcPr>
            <w:tcW w:w="1659" w:type="dxa"/>
            <w:vAlign w:val="top"/>
          </w:tcPr>
          <w:p w14:paraId="57F2B0C7">
            <w:pPr>
              <w:pStyle w:val="12"/>
              <w:spacing w:before="148" w:line="281" w:lineRule="auto"/>
              <w:ind w:left="714" w:right="108" w:hanging="600"/>
            </w:pPr>
            <w:r>
              <w:rPr>
                <w:spacing w:val="-2"/>
              </w:rPr>
              <w:t>谈判文件的澄</w:t>
            </w:r>
            <w:r>
              <w:rPr>
                <w:spacing w:val="2"/>
              </w:rPr>
              <w:t xml:space="preserve"> </w:t>
            </w:r>
            <w:r>
              <w:t>清</w:t>
            </w:r>
          </w:p>
        </w:tc>
        <w:tc>
          <w:tcPr>
            <w:tcW w:w="7152" w:type="dxa"/>
            <w:vAlign w:val="top"/>
          </w:tcPr>
          <w:p w14:paraId="2BF91626">
            <w:pPr>
              <w:pStyle w:val="12"/>
              <w:spacing w:before="158" w:line="277" w:lineRule="auto"/>
              <w:ind w:left="131" w:right="108" w:hanging="18"/>
            </w:pPr>
            <w:r>
              <w:rPr>
                <w:spacing w:val="-4"/>
              </w:rPr>
              <w:t>谈判文件澄清的截止时间为谈判开始前</w:t>
            </w:r>
            <w:r>
              <w:rPr>
                <w:spacing w:val="-36"/>
              </w:rPr>
              <w:t xml:space="preserve"> </w:t>
            </w:r>
            <w:r>
              <w:rPr>
                <w:spacing w:val="-4"/>
              </w:rPr>
              <w:t>2 日，在济钢集团有限公司</w:t>
            </w:r>
            <w:r>
              <w:t xml:space="preserve"> </w:t>
            </w:r>
            <w:r>
              <w:rPr>
                <w:spacing w:val="-1"/>
              </w:rPr>
              <w:t>阳光购销平台（网址：</w:t>
            </w:r>
            <w:r>
              <w:fldChar w:fldCharType="begin"/>
            </w:r>
            <w:r>
              <w:instrText xml:space="preserve"> HYPERLINK "http://bidding.jigang.com.cn" </w:instrText>
            </w:r>
            <w:r>
              <w:fldChar w:fldCharType="separate"/>
            </w:r>
            <w:r>
              <w:rPr>
                <w:spacing w:val="-1"/>
              </w:rPr>
              <w:t>http://bidding.jigang.c</w:t>
            </w:r>
            <w:r>
              <w:rPr>
                <w:spacing w:val="-2"/>
              </w:rPr>
              <w:t>om.cn</w:t>
            </w:r>
            <w:r>
              <w:rPr>
                <w:spacing w:val="-2"/>
              </w:rPr>
              <w:fldChar w:fldCharType="end"/>
            </w:r>
            <w:r>
              <w:rPr>
                <w:spacing w:val="-2"/>
              </w:rPr>
              <w:t>/） 上发布</w:t>
            </w:r>
          </w:p>
        </w:tc>
      </w:tr>
      <w:tr w14:paraId="72C16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vAlign w:val="top"/>
          </w:tcPr>
          <w:p w14:paraId="67FB1937">
            <w:pPr>
              <w:spacing w:line="316" w:lineRule="auto"/>
              <w:rPr>
                <w:rFonts w:ascii="Arial"/>
                <w:sz w:val="21"/>
              </w:rPr>
            </w:pPr>
          </w:p>
          <w:p w14:paraId="2EA1C472">
            <w:pPr>
              <w:spacing w:line="317" w:lineRule="auto"/>
              <w:rPr>
                <w:rFonts w:ascii="Arial"/>
                <w:sz w:val="21"/>
              </w:rPr>
            </w:pPr>
          </w:p>
          <w:p w14:paraId="2E3E1F00">
            <w:pPr>
              <w:pStyle w:val="12"/>
              <w:spacing w:before="78" w:line="183" w:lineRule="auto"/>
              <w:ind w:left="312"/>
            </w:pPr>
            <w:r>
              <w:rPr>
                <w:spacing w:val="-5"/>
              </w:rPr>
              <w:t>2.3</w:t>
            </w:r>
          </w:p>
        </w:tc>
        <w:tc>
          <w:tcPr>
            <w:tcW w:w="1659" w:type="dxa"/>
            <w:vAlign w:val="top"/>
          </w:tcPr>
          <w:p w14:paraId="49EB04E3">
            <w:pPr>
              <w:spacing w:line="437" w:lineRule="auto"/>
              <w:rPr>
                <w:rFonts w:ascii="Arial"/>
                <w:sz w:val="21"/>
              </w:rPr>
            </w:pPr>
          </w:p>
          <w:p w14:paraId="565FAD25">
            <w:pPr>
              <w:pStyle w:val="12"/>
              <w:spacing w:before="78" w:line="264" w:lineRule="auto"/>
              <w:ind w:left="723" w:right="108" w:hanging="609"/>
            </w:pPr>
            <w:r>
              <w:rPr>
                <w:spacing w:val="-2"/>
              </w:rPr>
              <w:t>谈判文件的修</w:t>
            </w:r>
            <w:r>
              <w:rPr>
                <w:spacing w:val="2"/>
              </w:rPr>
              <w:t xml:space="preserve"> </w:t>
            </w:r>
            <w:r>
              <w:t>改</w:t>
            </w:r>
          </w:p>
        </w:tc>
        <w:tc>
          <w:tcPr>
            <w:tcW w:w="7152" w:type="dxa"/>
            <w:vAlign w:val="top"/>
          </w:tcPr>
          <w:p w14:paraId="0A7F8DCB">
            <w:pPr>
              <w:pStyle w:val="12"/>
              <w:spacing w:before="114" w:line="283" w:lineRule="auto"/>
              <w:ind w:left="113" w:right="27"/>
              <w:jc w:val="both"/>
            </w:pPr>
            <w:r>
              <w:rPr>
                <w:spacing w:val="-4"/>
              </w:rPr>
              <w:t>谈判文件修改的截止时间为谈判开始前</w:t>
            </w:r>
            <w:r>
              <w:rPr>
                <w:spacing w:val="-36"/>
              </w:rPr>
              <w:t xml:space="preserve"> </w:t>
            </w:r>
            <w:r>
              <w:rPr>
                <w:spacing w:val="-4"/>
              </w:rPr>
              <w:t>2 日，在济钢集团有限公司</w:t>
            </w:r>
            <w:r>
              <w:t xml:space="preserve"> </w:t>
            </w:r>
            <w:r>
              <w:rPr>
                <w:spacing w:val="-4"/>
              </w:rPr>
              <w:t>阳光购销平台（网址：</w:t>
            </w:r>
            <w:r>
              <w:fldChar w:fldCharType="begin"/>
            </w:r>
            <w:r>
              <w:instrText xml:space="preserve"> HYPERLINK "http://bidding.jigang.com.cn" </w:instrText>
            </w:r>
            <w:r>
              <w:fldChar w:fldCharType="separate"/>
            </w:r>
            <w:r>
              <w:rPr>
                <w:spacing w:val="-4"/>
              </w:rPr>
              <w:t>http://bidding.jigang.com.cn</w:t>
            </w:r>
            <w:r>
              <w:rPr>
                <w:spacing w:val="-4"/>
              </w:rPr>
              <w:fldChar w:fldCharType="end"/>
            </w:r>
            <w:r>
              <w:rPr>
                <w:spacing w:val="-4"/>
              </w:rPr>
              <w:t>/）</w:t>
            </w:r>
            <w:r>
              <w:rPr>
                <w:spacing w:val="-20"/>
              </w:rPr>
              <w:t xml:space="preserve"> </w:t>
            </w:r>
            <w:r>
              <w:rPr>
                <w:spacing w:val="-4"/>
              </w:rPr>
              <w:t>上发布。</w:t>
            </w:r>
            <w:r>
              <w:t xml:space="preserve"> </w:t>
            </w:r>
            <w:r>
              <w:rPr>
                <w:spacing w:val="-3"/>
              </w:rPr>
              <w:t>采购人对谈判文件修改距谈判时间不足</w:t>
            </w:r>
            <w:r>
              <w:rPr>
                <w:spacing w:val="-23"/>
              </w:rPr>
              <w:t xml:space="preserve"> </w:t>
            </w:r>
            <w:r>
              <w:rPr>
                <w:spacing w:val="-3"/>
              </w:rPr>
              <w:t>1</w:t>
            </w:r>
            <w:r>
              <w:rPr>
                <w:spacing w:val="-46"/>
              </w:rPr>
              <w:t xml:space="preserve"> </w:t>
            </w:r>
            <w:r>
              <w:rPr>
                <w:spacing w:val="-3"/>
              </w:rPr>
              <w:t>天的，相应延长谈判开始</w:t>
            </w:r>
            <w:r>
              <w:t xml:space="preserve"> </w:t>
            </w:r>
            <w:r>
              <w:rPr>
                <w:spacing w:val="-3"/>
              </w:rPr>
              <w:t>时间。</w:t>
            </w:r>
          </w:p>
        </w:tc>
      </w:tr>
      <w:tr w14:paraId="0685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22F1F0C7">
            <w:pPr>
              <w:pStyle w:val="12"/>
              <w:spacing w:before="279" w:line="184" w:lineRule="auto"/>
              <w:ind w:left="192"/>
              <w:rPr>
                <w:rFonts w:hint="default" w:eastAsia="宋体"/>
                <w:lang w:val="en-US" w:eastAsia="zh-CN"/>
              </w:rPr>
            </w:pPr>
            <w:r>
              <w:rPr>
                <w:rFonts w:hint="eastAsia"/>
                <w:spacing w:val="-3"/>
                <w:lang w:val="en-US" w:eastAsia="zh-CN"/>
              </w:rPr>
              <w:t>2.4</w:t>
            </w:r>
          </w:p>
        </w:tc>
        <w:tc>
          <w:tcPr>
            <w:tcW w:w="1659" w:type="dxa"/>
            <w:vAlign w:val="top"/>
          </w:tcPr>
          <w:p w14:paraId="4662B667">
            <w:pPr>
              <w:pStyle w:val="12"/>
              <w:spacing w:before="85" w:line="242" w:lineRule="auto"/>
              <w:ind w:left="131" w:right="110" w:hanging="16"/>
            </w:pPr>
            <w:r>
              <w:rPr>
                <w:spacing w:val="-3"/>
              </w:rPr>
              <w:t>构成谈判文件</w:t>
            </w:r>
            <w:r>
              <w:rPr>
                <w:spacing w:val="4"/>
              </w:rPr>
              <w:t xml:space="preserve"> </w:t>
            </w:r>
            <w:r>
              <w:rPr>
                <w:spacing w:val="-6"/>
              </w:rPr>
              <w:t>的其他材料</w:t>
            </w:r>
          </w:p>
        </w:tc>
        <w:tc>
          <w:tcPr>
            <w:tcW w:w="7152" w:type="dxa"/>
            <w:vAlign w:val="top"/>
          </w:tcPr>
          <w:p w14:paraId="0C602674">
            <w:pPr>
              <w:pStyle w:val="12"/>
              <w:spacing w:before="258" w:line="219" w:lineRule="auto"/>
              <w:ind w:left="113"/>
            </w:pPr>
            <w:r>
              <w:rPr>
                <w:spacing w:val="-1"/>
              </w:rPr>
              <w:t>谈判文件澄清、答疑、补充文件等</w:t>
            </w:r>
          </w:p>
        </w:tc>
      </w:tr>
      <w:tr w14:paraId="756C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1F23402F">
            <w:pPr>
              <w:pStyle w:val="12"/>
              <w:spacing w:before="99" w:line="184" w:lineRule="auto"/>
              <w:ind w:left="193"/>
            </w:pPr>
            <w:r>
              <w:rPr>
                <w:spacing w:val="-3"/>
              </w:rPr>
              <w:t>3.1</w:t>
            </w:r>
          </w:p>
        </w:tc>
        <w:tc>
          <w:tcPr>
            <w:tcW w:w="1659" w:type="dxa"/>
            <w:vAlign w:val="top"/>
          </w:tcPr>
          <w:p w14:paraId="20C8753C">
            <w:pPr>
              <w:pStyle w:val="12"/>
              <w:spacing w:before="84" w:line="208" w:lineRule="auto"/>
              <w:ind w:left="127"/>
            </w:pPr>
            <w:r>
              <w:rPr>
                <w:spacing w:val="-4"/>
              </w:rPr>
              <w:t>响应文件内容</w:t>
            </w:r>
          </w:p>
        </w:tc>
        <w:tc>
          <w:tcPr>
            <w:tcW w:w="7152" w:type="dxa"/>
            <w:vAlign w:val="top"/>
          </w:tcPr>
          <w:p w14:paraId="1E7C24FE">
            <w:pPr>
              <w:pStyle w:val="12"/>
              <w:spacing w:before="79" w:line="212" w:lineRule="auto"/>
              <w:ind w:left="113"/>
            </w:pPr>
            <w:r>
              <w:rPr>
                <w:spacing w:val="-1"/>
              </w:rPr>
              <w:t>谈判文件商务、技术部分内容</w:t>
            </w:r>
          </w:p>
        </w:tc>
      </w:tr>
      <w:tr w14:paraId="5B29E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vAlign w:val="top"/>
          </w:tcPr>
          <w:p w14:paraId="308A5186">
            <w:pPr>
              <w:spacing w:line="350" w:lineRule="auto"/>
              <w:rPr>
                <w:rFonts w:ascii="Arial"/>
                <w:sz w:val="21"/>
              </w:rPr>
            </w:pPr>
          </w:p>
          <w:p w14:paraId="6F0AAF5A">
            <w:pPr>
              <w:pStyle w:val="12"/>
              <w:spacing w:before="78" w:line="184" w:lineRule="auto"/>
              <w:ind w:left="193"/>
            </w:pPr>
            <w:r>
              <w:rPr>
                <w:spacing w:val="-3"/>
              </w:rPr>
              <w:t>3.2</w:t>
            </w:r>
          </w:p>
        </w:tc>
        <w:tc>
          <w:tcPr>
            <w:tcW w:w="1659" w:type="dxa"/>
            <w:vAlign w:val="top"/>
          </w:tcPr>
          <w:p w14:paraId="178B3317">
            <w:pPr>
              <w:spacing w:line="335" w:lineRule="auto"/>
              <w:rPr>
                <w:rFonts w:ascii="Arial"/>
                <w:sz w:val="21"/>
              </w:rPr>
            </w:pPr>
          </w:p>
          <w:p w14:paraId="336F5908">
            <w:pPr>
              <w:pStyle w:val="12"/>
              <w:spacing w:before="78" w:line="218" w:lineRule="auto"/>
              <w:ind w:left="593"/>
            </w:pPr>
            <w:r>
              <w:rPr>
                <w:spacing w:val="-4"/>
              </w:rPr>
              <w:t>报价</w:t>
            </w:r>
          </w:p>
        </w:tc>
        <w:tc>
          <w:tcPr>
            <w:tcW w:w="7152" w:type="dxa"/>
            <w:vAlign w:val="top"/>
          </w:tcPr>
          <w:p w14:paraId="5BB9C699">
            <w:pPr>
              <w:pStyle w:val="12"/>
              <w:spacing w:before="70" w:line="246" w:lineRule="auto"/>
              <w:ind w:left="117" w:right="3481" w:firstLine="14"/>
            </w:pPr>
            <w:r>
              <w:rPr>
                <w:spacing w:val="-5"/>
              </w:rPr>
              <w:t>1.报价方式：固定合同总价包干。</w:t>
            </w:r>
            <w:r>
              <w:rPr>
                <w:spacing w:val="12"/>
              </w:rPr>
              <w:t xml:space="preserve"> </w:t>
            </w:r>
            <w:r>
              <w:rPr>
                <w:spacing w:val="-2"/>
              </w:rPr>
              <w:t>2.报价币种：人民币。</w:t>
            </w:r>
          </w:p>
          <w:p w14:paraId="35467318">
            <w:pPr>
              <w:pStyle w:val="12"/>
              <w:spacing w:before="38" w:line="204" w:lineRule="auto"/>
              <w:ind w:left="119"/>
            </w:pPr>
            <w:r>
              <w:rPr>
                <w:spacing w:val="-2"/>
              </w:rPr>
              <w:t>3.报价为</w:t>
            </w:r>
            <w:r>
              <w:rPr>
                <w:spacing w:val="-44"/>
              </w:rPr>
              <w:t xml:space="preserve"> </w:t>
            </w:r>
            <w:r>
              <w:rPr>
                <w:spacing w:val="-2"/>
              </w:rPr>
              <w:t>6%增值税专用发票价格</w:t>
            </w:r>
          </w:p>
        </w:tc>
      </w:tr>
      <w:tr w14:paraId="4BD8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1D2F96E0">
            <w:pPr>
              <w:pStyle w:val="12"/>
              <w:spacing w:before="101" w:line="183" w:lineRule="auto"/>
              <w:ind w:left="193"/>
              <w:rPr>
                <w:rFonts w:hint="eastAsia" w:eastAsia="宋体"/>
                <w:lang w:val="en-US" w:eastAsia="zh-CN"/>
              </w:rPr>
            </w:pPr>
            <w:r>
              <w:rPr>
                <w:spacing w:val="-3"/>
              </w:rPr>
              <w:t>3.</w:t>
            </w:r>
            <w:r>
              <w:rPr>
                <w:rFonts w:hint="eastAsia"/>
                <w:spacing w:val="-3"/>
                <w:lang w:val="en-US" w:eastAsia="zh-CN"/>
              </w:rPr>
              <w:t>3</w:t>
            </w:r>
          </w:p>
        </w:tc>
        <w:tc>
          <w:tcPr>
            <w:tcW w:w="1659" w:type="dxa"/>
            <w:vAlign w:val="top"/>
          </w:tcPr>
          <w:p w14:paraId="27752CF9">
            <w:pPr>
              <w:pStyle w:val="12"/>
              <w:spacing w:before="84" w:line="208" w:lineRule="auto"/>
              <w:ind w:left="353"/>
            </w:pPr>
            <w:r>
              <w:rPr>
                <w:spacing w:val="-2"/>
              </w:rPr>
              <w:t>报价修改</w:t>
            </w:r>
          </w:p>
        </w:tc>
        <w:tc>
          <w:tcPr>
            <w:tcW w:w="7152" w:type="dxa"/>
            <w:vAlign w:val="top"/>
          </w:tcPr>
          <w:p w14:paraId="2CCF0C01">
            <w:pPr>
              <w:pStyle w:val="12"/>
              <w:spacing w:before="79" w:line="212" w:lineRule="auto"/>
              <w:ind w:left="117"/>
            </w:pPr>
            <w:r>
              <w:rPr>
                <w:spacing w:val="-3"/>
              </w:rPr>
              <w:t>详见谈判须知正文</w:t>
            </w:r>
            <w:r>
              <w:rPr>
                <w:spacing w:val="-35"/>
              </w:rPr>
              <w:t xml:space="preserve"> </w:t>
            </w:r>
            <w:r>
              <w:rPr>
                <w:spacing w:val="-3"/>
              </w:rPr>
              <w:t>3.2.2</w:t>
            </w:r>
            <w:r>
              <w:rPr>
                <w:spacing w:val="-51"/>
              </w:rPr>
              <w:t xml:space="preserve"> </w:t>
            </w:r>
            <w:r>
              <w:rPr>
                <w:spacing w:val="-3"/>
              </w:rPr>
              <w:t>节内容</w:t>
            </w:r>
          </w:p>
        </w:tc>
      </w:tr>
      <w:tr w14:paraId="1746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0D10BEA9">
            <w:pPr>
              <w:pStyle w:val="12"/>
              <w:spacing w:before="99" w:line="184" w:lineRule="auto"/>
              <w:ind w:left="193"/>
              <w:rPr>
                <w:rFonts w:hint="default" w:eastAsia="宋体"/>
                <w:lang w:val="en-US" w:eastAsia="zh-CN"/>
              </w:rPr>
            </w:pPr>
            <w:r>
              <w:rPr>
                <w:rFonts w:hint="eastAsia"/>
                <w:spacing w:val="-3"/>
                <w:lang w:val="en-US" w:eastAsia="zh-CN"/>
              </w:rPr>
              <w:t>3.4</w:t>
            </w:r>
          </w:p>
        </w:tc>
        <w:tc>
          <w:tcPr>
            <w:tcW w:w="1659" w:type="dxa"/>
            <w:vAlign w:val="top"/>
          </w:tcPr>
          <w:p w14:paraId="4EEB04F2">
            <w:pPr>
              <w:pStyle w:val="12"/>
              <w:spacing w:before="87" w:line="206" w:lineRule="auto"/>
              <w:ind w:left="234"/>
            </w:pPr>
            <w:r>
              <w:rPr>
                <w:spacing w:val="-2"/>
              </w:rPr>
              <w:t>谈判有效期</w:t>
            </w:r>
          </w:p>
        </w:tc>
        <w:tc>
          <w:tcPr>
            <w:tcW w:w="7152" w:type="dxa"/>
            <w:vAlign w:val="top"/>
          </w:tcPr>
          <w:p w14:paraId="22B136C5">
            <w:pPr>
              <w:pStyle w:val="12"/>
              <w:spacing w:before="79" w:line="212" w:lineRule="auto"/>
              <w:ind w:left="119"/>
            </w:pPr>
            <w:r>
              <w:rPr>
                <w:spacing w:val="-4"/>
              </w:rPr>
              <w:t>30 日历天（自递交响应文件截止之日起）</w:t>
            </w:r>
          </w:p>
        </w:tc>
      </w:tr>
      <w:tr w14:paraId="59710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vAlign w:val="top"/>
          </w:tcPr>
          <w:p w14:paraId="6C41AC38">
            <w:pPr>
              <w:pStyle w:val="12"/>
              <w:spacing w:before="162" w:line="183" w:lineRule="auto"/>
              <w:ind w:left="313"/>
              <w:rPr>
                <w:rFonts w:hint="eastAsia" w:eastAsia="宋体"/>
                <w:lang w:eastAsia="zh-CN"/>
              </w:rPr>
            </w:pPr>
            <w:r>
              <w:rPr>
                <w:spacing w:val="-5"/>
              </w:rPr>
              <w:t>3.</w:t>
            </w:r>
            <w:r>
              <w:rPr>
                <w:rFonts w:hint="eastAsia"/>
                <w:spacing w:val="-5"/>
                <w:lang w:val="en-US" w:eastAsia="zh-CN"/>
              </w:rPr>
              <w:t>5</w:t>
            </w:r>
          </w:p>
        </w:tc>
        <w:tc>
          <w:tcPr>
            <w:tcW w:w="1659" w:type="dxa"/>
            <w:vAlign w:val="top"/>
          </w:tcPr>
          <w:p w14:paraId="169EAD7F">
            <w:pPr>
              <w:pStyle w:val="12"/>
              <w:spacing w:before="146" w:line="220" w:lineRule="auto"/>
              <w:ind w:left="234"/>
            </w:pPr>
            <w:r>
              <w:rPr>
                <w:spacing w:val="-2"/>
              </w:rPr>
              <w:t>谈判保证金</w:t>
            </w:r>
          </w:p>
        </w:tc>
        <w:tc>
          <w:tcPr>
            <w:tcW w:w="7152" w:type="dxa"/>
            <w:vAlign w:val="top"/>
          </w:tcPr>
          <w:p w14:paraId="6ABA24E8">
            <w:pPr>
              <w:pStyle w:val="12"/>
              <w:spacing w:before="141" w:line="220" w:lineRule="auto"/>
              <w:ind w:left="116"/>
            </w:pPr>
            <w:r>
              <w:t>无</w:t>
            </w:r>
          </w:p>
        </w:tc>
      </w:tr>
      <w:tr w14:paraId="59F5E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370057F2">
            <w:pPr>
              <w:pStyle w:val="12"/>
              <w:spacing w:before="78" w:line="184" w:lineRule="auto"/>
              <w:rPr>
                <w:rFonts w:hint="default" w:eastAsia="宋体"/>
                <w:lang w:val="en-US" w:eastAsia="zh-CN"/>
              </w:rPr>
            </w:pPr>
            <w:r>
              <w:rPr>
                <w:rFonts w:hint="eastAsia"/>
                <w:spacing w:val="-3"/>
                <w:lang w:val="en-US" w:eastAsia="zh-CN"/>
              </w:rPr>
              <w:t>3.6</w:t>
            </w:r>
          </w:p>
        </w:tc>
        <w:tc>
          <w:tcPr>
            <w:tcW w:w="1659" w:type="dxa"/>
            <w:vAlign w:val="top"/>
          </w:tcPr>
          <w:p w14:paraId="5A9B3E7F">
            <w:pPr>
              <w:pStyle w:val="12"/>
              <w:spacing w:before="78" w:line="219" w:lineRule="auto"/>
            </w:pPr>
            <w:r>
              <w:rPr>
                <w:spacing w:val="-5"/>
              </w:rPr>
              <w:t>资格审查</w:t>
            </w:r>
          </w:p>
        </w:tc>
        <w:tc>
          <w:tcPr>
            <w:tcW w:w="7152" w:type="dxa"/>
            <w:vAlign w:val="top"/>
          </w:tcPr>
          <w:p w14:paraId="16637390">
            <w:pPr>
              <w:pStyle w:val="12"/>
              <w:spacing w:before="54" w:line="242" w:lineRule="auto"/>
              <w:ind w:left="121" w:right="27" w:hanging="2"/>
            </w:pPr>
            <w:r>
              <w:rPr>
                <w:rFonts w:hint="eastAsia"/>
                <w:sz w:val="24"/>
              </w:rPr>
              <w:t>资格后审</w:t>
            </w:r>
          </w:p>
        </w:tc>
      </w:tr>
      <w:tr w14:paraId="2150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4E18B5F3">
            <w:pPr>
              <w:pStyle w:val="12"/>
              <w:spacing w:before="282" w:line="184" w:lineRule="auto"/>
              <w:ind w:left="193"/>
              <w:rPr>
                <w:rFonts w:hint="default" w:eastAsia="宋体"/>
                <w:lang w:val="en-US" w:eastAsia="zh-CN"/>
              </w:rPr>
            </w:pPr>
            <w:r>
              <w:rPr>
                <w:rFonts w:hint="eastAsia"/>
                <w:spacing w:val="-3"/>
                <w:lang w:val="en-US" w:eastAsia="zh-CN"/>
              </w:rPr>
              <w:t>3.7</w:t>
            </w:r>
          </w:p>
        </w:tc>
        <w:tc>
          <w:tcPr>
            <w:tcW w:w="1659" w:type="dxa"/>
            <w:vAlign w:val="top"/>
          </w:tcPr>
          <w:p w14:paraId="3279CBA8">
            <w:pPr>
              <w:pStyle w:val="12"/>
              <w:spacing w:before="88" w:line="241" w:lineRule="auto"/>
              <w:ind w:left="113" w:right="110" w:hanging="2"/>
            </w:pPr>
            <w:r>
              <w:rPr>
                <w:spacing w:val="-6"/>
              </w:rPr>
              <w:t>近</w:t>
            </w:r>
            <w:r>
              <w:rPr>
                <w:spacing w:val="-44"/>
              </w:rPr>
              <w:t xml:space="preserve"> </w:t>
            </w:r>
            <w:r>
              <w:rPr>
                <w:spacing w:val="-6"/>
              </w:rPr>
              <w:t>3</w:t>
            </w:r>
            <w:r>
              <w:rPr>
                <w:spacing w:val="-50"/>
              </w:rPr>
              <w:t xml:space="preserve"> </w:t>
            </w:r>
            <w:r>
              <w:rPr>
                <w:spacing w:val="-6"/>
              </w:rPr>
              <w:t>年财务状</w:t>
            </w:r>
            <w:r>
              <w:t xml:space="preserve"> </w:t>
            </w:r>
            <w:r>
              <w:rPr>
                <w:spacing w:val="-2"/>
              </w:rPr>
              <w:t>况的年份要求</w:t>
            </w:r>
          </w:p>
        </w:tc>
        <w:tc>
          <w:tcPr>
            <w:tcW w:w="7152" w:type="dxa"/>
            <w:vAlign w:val="top"/>
          </w:tcPr>
          <w:p w14:paraId="181732EE">
            <w:pPr>
              <w:pStyle w:val="12"/>
              <w:spacing w:before="260" w:line="219" w:lineRule="auto"/>
              <w:ind w:left="117"/>
            </w:pPr>
            <w:r>
              <w:rPr>
                <w:spacing w:val="-9"/>
              </w:rPr>
              <w:t>202</w:t>
            </w:r>
            <w:r>
              <w:rPr>
                <w:rFonts w:hint="eastAsia"/>
                <w:spacing w:val="-9"/>
                <w:lang w:val="en-US" w:eastAsia="zh-CN"/>
              </w:rPr>
              <w:t>3</w:t>
            </w:r>
            <w:r>
              <w:rPr>
                <w:spacing w:val="-9"/>
              </w:rPr>
              <w:t>年</w:t>
            </w:r>
            <w:r>
              <w:rPr>
                <w:spacing w:val="-49"/>
              </w:rPr>
              <w:t xml:space="preserve"> </w:t>
            </w:r>
            <w:r>
              <w:rPr>
                <w:rFonts w:hint="eastAsia"/>
                <w:spacing w:val="-9"/>
                <w:lang w:val="en-US" w:eastAsia="zh-CN"/>
              </w:rPr>
              <w:t>10</w:t>
            </w:r>
            <w:r>
              <w:rPr>
                <w:spacing w:val="-45"/>
              </w:rPr>
              <w:t xml:space="preserve"> </w:t>
            </w:r>
            <w:r>
              <w:rPr>
                <w:spacing w:val="-9"/>
              </w:rPr>
              <w:t>月</w:t>
            </w:r>
            <w:r>
              <w:rPr>
                <w:spacing w:val="-49"/>
              </w:rPr>
              <w:t xml:space="preserve"> </w:t>
            </w:r>
            <w:r>
              <w:rPr>
                <w:spacing w:val="-9"/>
              </w:rPr>
              <w:t>01 日至今。</w:t>
            </w:r>
          </w:p>
        </w:tc>
      </w:tr>
      <w:tr w14:paraId="03354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2D5A4A20">
            <w:pPr>
              <w:pStyle w:val="12"/>
              <w:spacing w:before="283" w:line="183" w:lineRule="auto"/>
              <w:ind w:left="193"/>
              <w:rPr>
                <w:rFonts w:hint="default" w:eastAsia="宋体"/>
                <w:lang w:val="en-US" w:eastAsia="zh-CN"/>
              </w:rPr>
            </w:pPr>
            <w:r>
              <w:rPr>
                <w:rFonts w:hint="eastAsia"/>
                <w:lang w:val="en-US" w:eastAsia="zh-CN"/>
              </w:rPr>
              <w:t>3.8</w:t>
            </w:r>
          </w:p>
        </w:tc>
        <w:tc>
          <w:tcPr>
            <w:tcW w:w="1659" w:type="dxa"/>
            <w:vAlign w:val="top"/>
          </w:tcPr>
          <w:p w14:paraId="440EC33E">
            <w:pPr>
              <w:pStyle w:val="12"/>
              <w:spacing w:before="85" w:line="242" w:lineRule="auto"/>
              <w:ind w:left="111" w:right="110"/>
            </w:pPr>
            <w:r>
              <w:rPr>
                <w:spacing w:val="-6"/>
              </w:rPr>
              <w:t>近</w:t>
            </w:r>
            <w:r>
              <w:rPr>
                <w:spacing w:val="-44"/>
              </w:rPr>
              <w:t xml:space="preserve"> </w:t>
            </w:r>
            <w:r>
              <w:rPr>
                <w:spacing w:val="-6"/>
              </w:rPr>
              <w:t>3</w:t>
            </w:r>
            <w:r>
              <w:rPr>
                <w:spacing w:val="-50"/>
              </w:rPr>
              <w:t xml:space="preserve"> </w:t>
            </w:r>
            <w:r>
              <w:rPr>
                <w:spacing w:val="-6"/>
              </w:rPr>
              <w:t>年完成的</w:t>
            </w:r>
            <w:r>
              <w:t xml:space="preserve"> </w:t>
            </w:r>
            <w:r>
              <w:rPr>
                <w:spacing w:val="-3"/>
              </w:rPr>
              <w:t>类似项目</w:t>
            </w:r>
          </w:p>
        </w:tc>
        <w:tc>
          <w:tcPr>
            <w:tcW w:w="7152" w:type="dxa"/>
            <w:vAlign w:val="top"/>
          </w:tcPr>
          <w:p w14:paraId="0DE5B943">
            <w:pPr>
              <w:pStyle w:val="12"/>
              <w:spacing w:before="260" w:line="219" w:lineRule="auto"/>
              <w:ind w:left="117"/>
            </w:pPr>
            <w:r>
              <w:rPr>
                <w:spacing w:val="-9"/>
              </w:rPr>
              <w:t>202</w:t>
            </w:r>
            <w:r>
              <w:rPr>
                <w:rFonts w:hint="eastAsia"/>
                <w:spacing w:val="-9"/>
                <w:lang w:val="en-US" w:eastAsia="zh-CN"/>
              </w:rPr>
              <w:t>3</w:t>
            </w:r>
            <w:r>
              <w:rPr>
                <w:spacing w:val="-36"/>
              </w:rPr>
              <w:t xml:space="preserve"> </w:t>
            </w:r>
            <w:r>
              <w:rPr>
                <w:spacing w:val="-9"/>
              </w:rPr>
              <w:t>年</w:t>
            </w:r>
            <w:r>
              <w:rPr>
                <w:spacing w:val="-49"/>
              </w:rPr>
              <w:t xml:space="preserve"> </w:t>
            </w:r>
            <w:r>
              <w:rPr>
                <w:rFonts w:hint="eastAsia"/>
                <w:spacing w:val="-9"/>
                <w:lang w:val="en-US" w:eastAsia="zh-CN"/>
              </w:rPr>
              <w:t>10</w:t>
            </w:r>
            <w:r>
              <w:rPr>
                <w:spacing w:val="-9"/>
              </w:rPr>
              <w:t>月</w:t>
            </w:r>
            <w:r>
              <w:rPr>
                <w:spacing w:val="-49"/>
              </w:rPr>
              <w:t xml:space="preserve"> </w:t>
            </w:r>
            <w:r>
              <w:rPr>
                <w:spacing w:val="-9"/>
              </w:rPr>
              <w:t>01 日至今。</w:t>
            </w:r>
          </w:p>
        </w:tc>
      </w:tr>
      <w:tr w14:paraId="4B6AF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vAlign w:val="top"/>
          </w:tcPr>
          <w:p w14:paraId="7F29F1BF">
            <w:pPr>
              <w:spacing w:line="382" w:lineRule="auto"/>
              <w:rPr>
                <w:rFonts w:ascii="Arial"/>
                <w:sz w:val="21"/>
              </w:rPr>
            </w:pPr>
          </w:p>
          <w:p w14:paraId="117D6A12">
            <w:pPr>
              <w:pStyle w:val="12"/>
              <w:spacing w:before="78" w:line="183" w:lineRule="auto"/>
              <w:ind w:left="193"/>
              <w:rPr>
                <w:rFonts w:hint="default" w:eastAsia="宋体"/>
                <w:lang w:val="en-US" w:eastAsia="zh-CN"/>
              </w:rPr>
            </w:pPr>
            <w:r>
              <w:rPr>
                <w:rFonts w:hint="eastAsia"/>
                <w:spacing w:val="-3"/>
                <w:lang w:val="en-US" w:eastAsia="zh-CN"/>
              </w:rPr>
              <w:t>3.9</w:t>
            </w:r>
          </w:p>
        </w:tc>
        <w:tc>
          <w:tcPr>
            <w:tcW w:w="1659" w:type="dxa"/>
            <w:vAlign w:val="top"/>
          </w:tcPr>
          <w:p w14:paraId="0F6C644F">
            <w:pPr>
              <w:pStyle w:val="12"/>
              <w:spacing w:before="87" w:line="253" w:lineRule="auto"/>
              <w:ind w:left="111" w:right="110"/>
              <w:jc w:val="both"/>
            </w:pPr>
            <w:r>
              <w:rPr>
                <w:spacing w:val="-6"/>
              </w:rPr>
              <w:t>近</w:t>
            </w:r>
            <w:r>
              <w:rPr>
                <w:spacing w:val="-44"/>
              </w:rPr>
              <w:t xml:space="preserve"> </w:t>
            </w:r>
            <w:r>
              <w:rPr>
                <w:spacing w:val="-6"/>
              </w:rPr>
              <w:t>3</w:t>
            </w:r>
            <w:r>
              <w:rPr>
                <w:spacing w:val="-50"/>
              </w:rPr>
              <w:t xml:space="preserve"> </w:t>
            </w:r>
            <w:r>
              <w:rPr>
                <w:spacing w:val="-6"/>
              </w:rPr>
              <w:t>年发生的</w:t>
            </w:r>
            <w:r>
              <w:t xml:space="preserve"> </w:t>
            </w:r>
            <w:r>
              <w:rPr>
                <w:spacing w:val="-2"/>
              </w:rPr>
              <w:t>诉讼及仲裁情</w:t>
            </w:r>
            <w:r>
              <w:rPr>
                <w:spacing w:val="2"/>
              </w:rPr>
              <w:t xml:space="preserve"> </w:t>
            </w:r>
            <w:r>
              <w:rPr>
                <w:spacing w:val="-2"/>
              </w:rPr>
              <w:t>况的年份要求</w:t>
            </w:r>
          </w:p>
        </w:tc>
        <w:tc>
          <w:tcPr>
            <w:tcW w:w="7152" w:type="dxa"/>
            <w:vAlign w:val="top"/>
          </w:tcPr>
          <w:p w14:paraId="672A1656">
            <w:pPr>
              <w:spacing w:line="362" w:lineRule="auto"/>
              <w:rPr>
                <w:rFonts w:ascii="Arial"/>
                <w:sz w:val="21"/>
              </w:rPr>
            </w:pPr>
          </w:p>
          <w:p w14:paraId="555CDF12">
            <w:pPr>
              <w:pStyle w:val="12"/>
              <w:spacing w:before="78" w:line="219" w:lineRule="auto"/>
              <w:ind w:left="117"/>
            </w:pPr>
            <w:r>
              <w:rPr>
                <w:spacing w:val="-9"/>
              </w:rPr>
              <w:t>202</w:t>
            </w:r>
            <w:r>
              <w:rPr>
                <w:rFonts w:hint="eastAsia"/>
                <w:spacing w:val="-9"/>
                <w:lang w:val="en-US" w:eastAsia="zh-CN"/>
              </w:rPr>
              <w:t>3</w:t>
            </w:r>
            <w:r>
              <w:rPr>
                <w:spacing w:val="-36"/>
              </w:rPr>
              <w:t xml:space="preserve"> </w:t>
            </w:r>
            <w:r>
              <w:rPr>
                <w:spacing w:val="-9"/>
              </w:rPr>
              <w:t>年</w:t>
            </w:r>
            <w:r>
              <w:rPr>
                <w:spacing w:val="-49"/>
              </w:rPr>
              <w:t xml:space="preserve"> </w:t>
            </w:r>
            <w:r>
              <w:rPr>
                <w:rFonts w:hint="eastAsia"/>
                <w:spacing w:val="-9"/>
                <w:lang w:val="en-US" w:eastAsia="zh-CN"/>
              </w:rPr>
              <w:t>10</w:t>
            </w:r>
            <w:r>
              <w:rPr>
                <w:spacing w:val="-45"/>
              </w:rPr>
              <w:t xml:space="preserve"> </w:t>
            </w:r>
            <w:r>
              <w:rPr>
                <w:spacing w:val="-9"/>
              </w:rPr>
              <w:t>月</w:t>
            </w:r>
            <w:r>
              <w:rPr>
                <w:spacing w:val="-49"/>
              </w:rPr>
              <w:t xml:space="preserve"> </w:t>
            </w:r>
            <w:r>
              <w:rPr>
                <w:spacing w:val="-9"/>
              </w:rPr>
              <w:t>01 日至今。</w:t>
            </w:r>
          </w:p>
        </w:tc>
      </w:tr>
      <w:tr w14:paraId="64FE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02FFBA7D">
            <w:pPr>
              <w:pStyle w:val="12"/>
              <w:spacing w:before="282" w:line="184" w:lineRule="auto"/>
              <w:ind w:left="193"/>
              <w:rPr>
                <w:rFonts w:hint="default" w:eastAsia="宋体"/>
                <w:lang w:val="en-US" w:eastAsia="zh-CN"/>
              </w:rPr>
            </w:pPr>
            <w:r>
              <w:rPr>
                <w:rFonts w:hint="eastAsia"/>
                <w:spacing w:val="-3"/>
                <w:lang w:val="en-US" w:eastAsia="zh-CN"/>
              </w:rPr>
              <w:t>3.10</w:t>
            </w:r>
          </w:p>
        </w:tc>
        <w:tc>
          <w:tcPr>
            <w:tcW w:w="1659" w:type="dxa"/>
            <w:vAlign w:val="top"/>
          </w:tcPr>
          <w:p w14:paraId="11A9A513">
            <w:pPr>
              <w:pStyle w:val="12"/>
              <w:spacing w:before="88" w:line="241" w:lineRule="auto"/>
              <w:ind w:left="716" w:right="108" w:hanging="601"/>
            </w:pPr>
            <w:r>
              <w:rPr>
                <w:spacing w:val="-2"/>
              </w:rPr>
              <w:t>签字或盖章要</w:t>
            </w:r>
            <w:r>
              <w:rPr>
                <w:spacing w:val="1"/>
              </w:rPr>
              <w:t xml:space="preserve"> </w:t>
            </w:r>
            <w:r>
              <w:t>求</w:t>
            </w:r>
          </w:p>
        </w:tc>
        <w:tc>
          <w:tcPr>
            <w:tcW w:w="7152" w:type="dxa"/>
            <w:vAlign w:val="top"/>
          </w:tcPr>
          <w:p w14:paraId="73C8BA28">
            <w:pPr>
              <w:pStyle w:val="12"/>
              <w:spacing w:before="91"/>
              <w:ind w:left="122" w:right="46" w:firstLine="4"/>
            </w:pPr>
            <w:r>
              <w:rPr>
                <w:spacing w:val="-9"/>
              </w:rPr>
              <w:t>响应文件应按第六章“响应文件格式及内容</w:t>
            </w:r>
            <w:r>
              <w:rPr>
                <w:spacing w:val="-78"/>
              </w:rPr>
              <w:t xml:space="preserve"> </w:t>
            </w:r>
            <w:r>
              <w:rPr>
                <w:spacing w:val="-9"/>
              </w:rPr>
              <w:t>”要求进行签字或盖章，</w:t>
            </w:r>
            <w:r>
              <w:t xml:space="preserve"> </w:t>
            </w:r>
            <w:r>
              <w:rPr>
                <w:spacing w:val="-2"/>
              </w:rPr>
              <w:t>否则其响应文件按照无效处理。</w:t>
            </w:r>
          </w:p>
        </w:tc>
      </w:tr>
      <w:tr w14:paraId="2DC1C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62" w:type="dxa"/>
            <w:vAlign w:val="top"/>
          </w:tcPr>
          <w:p w14:paraId="6C09B0B3">
            <w:pPr>
              <w:pStyle w:val="12"/>
              <w:spacing w:before="264" w:line="183" w:lineRule="auto"/>
              <w:ind w:left="193"/>
              <w:rPr>
                <w:rFonts w:hint="default" w:eastAsia="宋体"/>
                <w:lang w:val="en-US" w:eastAsia="zh-CN"/>
              </w:rPr>
            </w:pPr>
            <w:r>
              <w:rPr>
                <w:rFonts w:hint="eastAsia"/>
                <w:spacing w:val="-3"/>
                <w:lang w:val="en-US" w:eastAsia="zh-CN"/>
              </w:rPr>
              <w:t>3.11</w:t>
            </w:r>
          </w:p>
        </w:tc>
        <w:tc>
          <w:tcPr>
            <w:tcW w:w="1659" w:type="dxa"/>
            <w:vAlign w:val="top"/>
          </w:tcPr>
          <w:p w14:paraId="532758BE">
            <w:pPr>
              <w:pStyle w:val="12"/>
              <w:spacing w:before="248" w:line="219" w:lineRule="auto"/>
              <w:ind w:left="367"/>
            </w:pPr>
            <w:r>
              <w:rPr>
                <w:spacing w:val="-6"/>
              </w:rPr>
              <w:t>响应文件</w:t>
            </w:r>
          </w:p>
        </w:tc>
        <w:tc>
          <w:tcPr>
            <w:tcW w:w="7152" w:type="dxa"/>
            <w:vAlign w:val="top"/>
          </w:tcPr>
          <w:p w14:paraId="389C7D58">
            <w:pPr>
              <w:pStyle w:val="12"/>
              <w:spacing w:before="71" w:line="233" w:lineRule="auto"/>
              <w:ind w:left="111" w:right="2062" w:firstLine="4"/>
            </w:pPr>
            <w:r>
              <w:rPr>
                <w:spacing w:val="-4"/>
              </w:rPr>
              <w:t>上传至济钢集团有限公司阳光购销平台（网址：</w:t>
            </w:r>
            <w:r>
              <w:rPr>
                <w:spacing w:val="11"/>
              </w:rPr>
              <w:t xml:space="preserve"> </w:t>
            </w:r>
            <w:r>
              <w:fldChar w:fldCharType="begin"/>
            </w:r>
            <w:r>
              <w:instrText xml:space="preserve"> HYPERLINK "http://bidding.jigang.com.cn" </w:instrText>
            </w:r>
            <w:r>
              <w:fldChar w:fldCharType="separate"/>
            </w:r>
            <w:r>
              <w:t>http://bidding.jigang.</w:t>
            </w:r>
            <w:r>
              <w:rPr>
                <w:spacing w:val="-1"/>
              </w:rPr>
              <w:t>com.cn</w:t>
            </w:r>
            <w:r>
              <w:rPr>
                <w:spacing w:val="-1"/>
              </w:rPr>
              <w:fldChar w:fldCharType="end"/>
            </w:r>
            <w:r>
              <w:rPr>
                <w:spacing w:val="-1"/>
              </w:rPr>
              <w:t>/）</w:t>
            </w:r>
          </w:p>
        </w:tc>
      </w:tr>
    </w:tbl>
    <w:p w14:paraId="7FD7C92B">
      <w:pPr>
        <w:pStyle w:val="5"/>
      </w:pPr>
    </w:p>
    <w:p w14:paraId="54DDFEC0">
      <w:pPr>
        <w:sectPr>
          <w:footerReference r:id="rId8" w:type="default"/>
          <w:pgSz w:w="11906" w:h="16839"/>
          <w:pgMar w:top="1418" w:right="1064" w:bottom="1153" w:left="1063" w:header="0" w:footer="994" w:gutter="0"/>
          <w:cols w:space="720" w:num="1"/>
        </w:sectPr>
      </w:pPr>
    </w:p>
    <w:tbl>
      <w:tblPr>
        <w:tblStyle w:val="11"/>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051CB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962" w:type="dxa"/>
            <w:vAlign w:val="top"/>
          </w:tcPr>
          <w:p w14:paraId="481DC912">
            <w:pPr>
              <w:spacing w:line="286" w:lineRule="auto"/>
              <w:rPr>
                <w:rFonts w:ascii="Arial"/>
                <w:sz w:val="21"/>
              </w:rPr>
            </w:pPr>
          </w:p>
          <w:p w14:paraId="463131EF">
            <w:pPr>
              <w:spacing w:line="287" w:lineRule="auto"/>
              <w:rPr>
                <w:rFonts w:ascii="Arial"/>
                <w:sz w:val="21"/>
              </w:rPr>
            </w:pPr>
          </w:p>
          <w:p w14:paraId="198CF389">
            <w:pPr>
              <w:spacing w:line="287" w:lineRule="auto"/>
              <w:rPr>
                <w:rFonts w:ascii="Arial"/>
                <w:sz w:val="21"/>
              </w:rPr>
            </w:pPr>
          </w:p>
          <w:p w14:paraId="2BF868A3">
            <w:pPr>
              <w:pStyle w:val="12"/>
              <w:spacing w:before="78" w:line="183" w:lineRule="auto"/>
              <w:ind w:left="193"/>
              <w:rPr>
                <w:rFonts w:hint="default" w:eastAsia="宋体"/>
                <w:lang w:val="en-US" w:eastAsia="zh-CN"/>
              </w:rPr>
            </w:pPr>
            <w:r>
              <w:rPr>
                <w:rFonts w:hint="eastAsia"/>
                <w:spacing w:val="-3"/>
                <w:lang w:val="en-US" w:eastAsia="zh-CN"/>
              </w:rPr>
              <w:t>3.12</w:t>
            </w:r>
          </w:p>
        </w:tc>
        <w:tc>
          <w:tcPr>
            <w:tcW w:w="1659" w:type="dxa"/>
            <w:vAlign w:val="center"/>
          </w:tcPr>
          <w:p w14:paraId="546855D0">
            <w:pPr>
              <w:spacing w:line="360" w:lineRule="exact"/>
              <w:ind w:left="135" w:leftChars="-50" w:right="-105" w:rightChars="-50" w:hanging="240" w:hangingChars="100"/>
              <w:jc w:val="center"/>
            </w:pPr>
            <w:r>
              <w:rPr>
                <w:sz w:val="24"/>
              </w:rPr>
              <w:t>纸质</w:t>
            </w:r>
            <w:r>
              <w:rPr>
                <w:rFonts w:hint="eastAsia" w:eastAsia="宋体"/>
                <w:sz w:val="24"/>
                <w:lang w:val="en-US" w:eastAsia="zh-CN"/>
              </w:rPr>
              <w:t>响应</w:t>
            </w:r>
            <w:r>
              <w:rPr>
                <w:sz w:val="24"/>
              </w:rPr>
              <w:t>文件装订要求（中标单位提供纸质版</w:t>
            </w:r>
            <w:r>
              <w:rPr>
                <w:rFonts w:hint="eastAsia" w:eastAsia="宋体"/>
                <w:sz w:val="24"/>
                <w:lang w:val="en-US" w:eastAsia="zh-CN"/>
              </w:rPr>
              <w:t>响应</w:t>
            </w:r>
            <w:r>
              <w:rPr>
                <w:sz w:val="24"/>
              </w:rPr>
              <w:t>文件）</w:t>
            </w:r>
          </w:p>
        </w:tc>
        <w:tc>
          <w:tcPr>
            <w:tcW w:w="7158" w:type="dxa"/>
            <w:vAlign w:val="center"/>
          </w:tcPr>
          <w:p w14:paraId="137B5FFB">
            <w:pPr>
              <w:spacing w:line="340" w:lineRule="exact"/>
              <w:jc w:val="left"/>
              <w:rPr>
                <w:sz w:val="24"/>
              </w:rPr>
            </w:pPr>
            <w:r>
              <w:rPr>
                <w:sz w:val="24"/>
              </w:rPr>
              <w:t>1、</w:t>
            </w:r>
            <w:r>
              <w:rPr>
                <w:rFonts w:hint="eastAsia" w:eastAsia="宋体"/>
                <w:sz w:val="24"/>
                <w:lang w:val="en-US" w:eastAsia="zh-CN"/>
              </w:rPr>
              <w:t>响应</w:t>
            </w:r>
            <w:r>
              <w:rPr>
                <w:sz w:val="24"/>
              </w:rPr>
              <w:t>文件的正本与副本应分别装订成册。</w:t>
            </w:r>
          </w:p>
          <w:p w14:paraId="0A2068E4">
            <w:pPr>
              <w:spacing w:line="340" w:lineRule="exact"/>
              <w:jc w:val="left"/>
              <w:rPr>
                <w:sz w:val="24"/>
              </w:rPr>
            </w:pPr>
            <w:r>
              <w:rPr>
                <w:sz w:val="24"/>
              </w:rPr>
              <w:t>2、</w:t>
            </w:r>
            <w:r>
              <w:rPr>
                <w:rFonts w:hint="eastAsia" w:eastAsia="宋体"/>
                <w:sz w:val="24"/>
                <w:lang w:val="en-US" w:eastAsia="zh-CN"/>
              </w:rPr>
              <w:t>响应</w:t>
            </w:r>
            <w:r>
              <w:rPr>
                <w:sz w:val="24"/>
              </w:rPr>
              <w:t>文件每册均须采用胶装方式在左侧装订，装订须牢固不易拆散和换页，不得采用活页方式装订。</w:t>
            </w:r>
          </w:p>
          <w:p w14:paraId="3355EE45">
            <w:pPr>
              <w:spacing w:line="360" w:lineRule="exact"/>
              <w:ind w:right="-105" w:rightChars="-50"/>
              <w:jc w:val="left"/>
              <w:rPr>
                <w:sz w:val="24"/>
              </w:rPr>
            </w:pPr>
            <w:r>
              <w:rPr>
                <w:sz w:val="24"/>
              </w:rPr>
              <w:t>3、</w:t>
            </w:r>
            <w:r>
              <w:rPr>
                <w:rFonts w:hint="eastAsia" w:eastAsia="宋体"/>
                <w:sz w:val="24"/>
                <w:lang w:val="en-US" w:eastAsia="zh-CN"/>
              </w:rPr>
              <w:t>响应</w:t>
            </w:r>
            <w:r>
              <w:rPr>
                <w:sz w:val="24"/>
              </w:rPr>
              <w:t>文件正本和副本的封面上应清楚地标记“正本”或“副本”的字样；正本和副本如有不一致之处，以正本为准。</w:t>
            </w:r>
          </w:p>
          <w:p w14:paraId="2CD12910">
            <w:pPr>
              <w:spacing w:line="360" w:lineRule="exact"/>
              <w:ind w:right="-105" w:rightChars="-50"/>
              <w:jc w:val="left"/>
            </w:pPr>
            <w:r>
              <w:rPr>
                <w:sz w:val="24"/>
              </w:rPr>
              <w:t>4、</w:t>
            </w:r>
            <w:r>
              <w:rPr>
                <w:rFonts w:hint="eastAsia"/>
                <w:sz w:val="24"/>
                <w:lang w:eastAsia="zh-CN"/>
              </w:rPr>
              <w:t>供应商</w:t>
            </w:r>
            <w:r>
              <w:rPr>
                <w:sz w:val="24"/>
              </w:rPr>
              <w:t>收到中标通知书后3日内，需将纸质</w:t>
            </w:r>
            <w:r>
              <w:rPr>
                <w:rFonts w:hint="eastAsia" w:eastAsia="宋体"/>
                <w:sz w:val="24"/>
                <w:lang w:val="en-US" w:eastAsia="zh-CN"/>
              </w:rPr>
              <w:t>响应</w:t>
            </w:r>
            <w:r>
              <w:rPr>
                <w:sz w:val="24"/>
              </w:rPr>
              <w:t>文件邮寄到山东省济南市官庄街道青野村东，山东济钢环保新材料有限公司，收件人：史工，收件人手机号：18615514537</w:t>
            </w:r>
          </w:p>
        </w:tc>
      </w:tr>
      <w:tr w14:paraId="7508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2E89296E">
            <w:pPr>
              <w:pStyle w:val="12"/>
              <w:spacing w:before="99" w:line="183" w:lineRule="auto"/>
              <w:ind w:left="193"/>
              <w:rPr>
                <w:rFonts w:hint="default" w:eastAsia="宋体"/>
                <w:lang w:val="en-US" w:eastAsia="zh-CN"/>
              </w:rPr>
            </w:pPr>
            <w:r>
              <w:rPr>
                <w:rFonts w:hint="eastAsia"/>
                <w:spacing w:val="-3"/>
                <w:lang w:val="en-US" w:eastAsia="zh-CN"/>
              </w:rPr>
              <w:t>3.13</w:t>
            </w:r>
          </w:p>
        </w:tc>
        <w:tc>
          <w:tcPr>
            <w:tcW w:w="1659" w:type="dxa"/>
            <w:vAlign w:val="top"/>
          </w:tcPr>
          <w:p w14:paraId="39EA14C5">
            <w:pPr>
              <w:pStyle w:val="12"/>
              <w:spacing w:before="83" w:line="209" w:lineRule="auto"/>
              <w:ind w:left="383"/>
            </w:pPr>
            <w:r>
              <w:rPr>
                <w:spacing w:val="-10"/>
              </w:rPr>
              <w:t>电子文档</w:t>
            </w:r>
          </w:p>
        </w:tc>
        <w:tc>
          <w:tcPr>
            <w:tcW w:w="7158" w:type="dxa"/>
            <w:vAlign w:val="top"/>
          </w:tcPr>
          <w:p w14:paraId="0169DFBC">
            <w:pPr>
              <w:pStyle w:val="12"/>
              <w:spacing w:before="78" w:line="213" w:lineRule="auto"/>
              <w:ind w:left="117"/>
            </w:pPr>
            <w:r>
              <w:rPr>
                <w:spacing w:val="-3"/>
              </w:rPr>
              <w:t>详见谈判须知正文</w:t>
            </w:r>
            <w:r>
              <w:rPr>
                <w:spacing w:val="-40"/>
              </w:rPr>
              <w:t xml:space="preserve"> </w:t>
            </w:r>
            <w:r>
              <w:rPr>
                <w:spacing w:val="-3"/>
              </w:rPr>
              <w:t>3.7.6</w:t>
            </w:r>
            <w:r>
              <w:rPr>
                <w:spacing w:val="-49"/>
              </w:rPr>
              <w:t xml:space="preserve"> </w:t>
            </w:r>
            <w:r>
              <w:rPr>
                <w:spacing w:val="-3"/>
              </w:rPr>
              <w:t>条款</w:t>
            </w:r>
          </w:p>
        </w:tc>
      </w:tr>
      <w:tr w14:paraId="5D85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4C4AA384">
            <w:pPr>
              <w:pStyle w:val="12"/>
              <w:spacing w:before="278" w:line="184" w:lineRule="auto"/>
              <w:ind w:left="308"/>
            </w:pPr>
            <w:r>
              <w:rPr>
                <w:spacing w:val="-3"/>
              </w:rPr>
              <w:t>4</w:t>
            </w:r>
          </w:p>
        </w:tc>
        <w:tc>
          <w:tcPr>
            <w:tcW w:w="1659" w:type="dxa"/>
            <w:vAlign w:val="top"/>
          </w:tcPr>
          <w:p w14:paraId="17240085">
            <w:pPr>
              <w:pStyle w:val="12"/>
              <w:spacing w:before="83" w:line="243" w:lineRule="auto"/>
              <w:ind w:left="254" w:right="108" w:hanging="137"/>
            </w:pPr>
            <w:r>
              <w:rPr>
                <w:spacing w:val="-2"/>
              </w:rPr>
              <w:t>上传响应文件</w:t>
            </w:r>
            <w:r>
              <w:t xml:space="preserve"> </w:t>
            </w:r>
            <w:r>
              <w:rPr>
                <w:spacing w:val="-6"/>
              </w:rPr>
              <w:t>的截止时间</w:t>
            </w:r>
          </w:p>
        </w:tc>
        <w:tc>
          <w:tcPr>
            <w:tcW w:w="7158" w:type="dxa"/>
            <w:vAlign w:val="top"/>
          </w:tcPr>
          <w:p w14:paraId="1979BB55">
            <w:pPr>
              <w:pStyle w:val="12"/>
              <w:spacing w:before="258" w:line="219" w:lineRule="auto"/>
              <w:ind w:left="117"/>
              <w:rPr>
                <w:rFonts w:hint="default" w:eastAsia="宋体"/>
                <w:lang w:val="en-US" w:eastAsia="zh-CN"/>
              </w:rPr>
            </w:pP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 xml:space="preserve">11 </w:t>
            </w:r>
            <w:r>
              <w:rPr>
                <w:rFonts w:ascii="宋体" w:hAnsi="宋体" w:eastAsia="宋体" w:cs="宋体"/>
                <w:color w:val="FF0000"/>
                <w:spacing w:val="-9"/>
                <w:sz w:val="24"/>
                <w:szCs w:val="24"/>
              </w:rPr>
              <w:t>月</w:t>
            </w:r>
            <w:r>
              <w:rPr>
                <w:rFonts w:hint="eastAsia" w:cs="宋体"/>
                <w:color w:val="FF0000"/>
                <w:spacing w:val="-9"/>
                <w:sz w:val="24"/>
                <w:szCs w:val="24"/>
                <w:lang w:val="en-US" w:eastAsia="zh-CN"/>
              </w:rPr>
              <w:t>25</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p>
        </w:tc>
      </w:tr>
      <w:tr w14:paraId="14553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1D69627F">
            <w:pPr>
              <w:pStyle w:val="12"/>
              <w:spacing w:before="277" w:line="184" w:lineRule="auto"/>
              <w:ind w:left="313"/>
            </w:pPr>
            <w:r>
              <w:rPr>
                <w:spacing w:val="-5"/>
              </w:rPr>
              <w:t>5</w:t>
            </w:r>
          </w:p>
        </w:tc>
        <w:tc>
          <w:tcPr>
            <w:tcW w:w="1659" w:type="dxa"/>
            <w:vAlign w:val="top"/>
          </w:tcPr>
          <w:p w14:paraId="377775AB">
            <w:pPr>
              <w:pStyle w:val="12"/>
              <w:spacing w:before="83" w:line="243" w:lineRule="auto"/>
              <w:ind w:left="595" w:right="228" w:hanging="361"/>
            </w:pPr>
            <w:r>
              <w:rPr>
                <w:spacing w:val="-2"/>
              </w:rPr>
              <w:t>谈判时间和</w:t>
            </w:r>
            <w:r>
              <w:t xml:space="preserve"> </w:t>
            </w:r>
            <w:r>
              <w:rPr>
                <w:spacing w:val="-6"/>
              </w:rPr>
              <w:t>方式</w:t>
            </w:r>
          </w:p>
        </w:tc>
        <w:tc>
          <w:tcPr>
            <w:tcW w:w="7158" w:type="dxa"/>
            <w:vAlign w:val="top"/>
          </w:tcPr>
          <w:p w14:paraId="1634E7B4">
            <w:pPr>
              <w:pStyle w:val="12"/>
              <w:spacing w:before="87" w:line="219" w:lineRule="auto"/>
              <w:ind w:left="113"/>
            </w:pPr>
            <w:r>
              <w:rPr>
                <w:spacing w:val="-9"/>
              </w:rPr>
              <w:t>谈判时间</w:t>
            </w:r>
            <w:r>
              <w:rPr>
                <w:color w:val="FF0000"/>
                <w:spacing w:val="-9"/>
              </w:rPr>
              <w:t>：</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 xml:space="preserve">11 </w:t>
            </w:r>
            <w:r>
              <w:rPr>
                <w:rFonts w:ascii="宋体" w:hAnsi="宋体" w:eastAsia="宋体" w:cs="宋体"/>
                <w:color w:val="FF0000"/>
                <w:spacing w:val="-9"/>
                <w:sz w:val="24"/>
                <w:szCs w:val="24"/>
              </w:rPr>
              <w:t>月</w:t>
            </w:r>
            <w:r>
              <w:rPr>
                <w:rFonts w:hint="eastAsia" w:cs="宋体"/>
                <w:color w:val="FF0000"/>
                <w:spacing w:val="-9"/>
                <w:sz w:val="24"/>
                <w:szCs w:val="24"/>
                <w:lang w:val="en-US" w:eastAsia="zh-CN"/>
              </w:rPr>
              <w:t>25</w:t>
            </w:r>
            <w:bookmarkStart w:id="185" w:name="_GoBack"/>
            <w:bookmarkEnd w:id="185"/>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p>
          <w:p w14:paraId="62E7F166">
            <w:pPr>
              <w:pStyle w:val="12"/>
              <w:spacing w:before="55" w:line="219" w:lineRule="auto"/>
              <w:ind w:left="113"/>
            </w:pPr>
            <w:r>
              <w:rPr>
                <w:spacing w:val="-1"/>
              </w:rPr>
              <w:t>谈判方式：网上谈判，谈判时无需供应商到达现场。</w:t>
            </w:r>
          </w:p>
        </w:tc>
      </w:tr>
      <w:tr w14:paraId="6BDA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07EA9E30">
            <w:pPr>
              <w:pStyle w:val="12"/>
              <w:spacing w:before="98" w:line="183" w:lineRule="auto"/>
              <w:ind w:left="311"/>
              <w:rPr>
                <w:rFonts w:hint="default" w:eastAsia="宋体"/>
                <w:lang w:val="en-US" w:eastAsia="zh-CN"/>
              </w:rPr>
            </w:pPr>
            <w:r>
              <w:rPr>
                <w:rFonts w:hint="eastAsia"/>
                <w:spacing w:val="-4"/>
                <w:lang w:val="en-US" w:eastAsia="zh-CN"/>
              </w:rPr>
              <w:t>6</w:t>
            </w:r>
          </w:p>
        </w:tc>
        <w:tc>
          <w:tcPr>
            <w:tcW w:w="1659" w:type="dxa"/>
            <w:vAlign w:val="top"/>
          </w:tcPr>
          <w:p w14:paraId="0233DBA3">
            <w:pPr>
              <w:pStyle w:val="12"/>
              <w:spacing w:before="84" w:line="208" w:lineRule="auto"/>
              <w:ind w:left="354"/>
            </w:pPr>
            <w:r>
              <w:rPr>
                <w:spacing w:val="-3"/>
              </w:rPr>
              <w:t>评审方法</w:t>
            </w:r>
          </w:p>
        </w:tc>
        <w:tc>
          <w:tcPr>
            <w:tcW w:w="7158" w:type="dxa"/>
            <w:vAlign w:val="top"/>
          </w:tcPr>
          <w:p w14:paraId="00051E6C">
            <w:pPr>
              <w:pStyle w:val="12"/>
              <w:spacing w:before="76" w:line="214" w:lineRule="auto"/>
              <w:ind w:left="117"/>
            </w:pPr>
            <w:r>
              <w:rPr>
                <w:rFonts w:hint="eastAsia"/>
                <w:spacing w:val="-3"/>
                <w:lang w:eastAsia="zh-CN"/>
              </w:rPr>
              <w:t>综合评审</w:t>
            </w:r>
            <w:r>
              <w:rPr>
                <w:spacing w:val="-3"/>
              </w:rPr>
              <w:t>法</w:t>
            </w:r>
          </w:p>
        </w:tc>
      </w:tr>
      <w:tr w14:paraId="62F1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2" w:type="dxa"/>
            <w:vAlign w:val="top"/>
          </w:tcPr>
          <w:p w14:paraId="439682E1">
            <w:pPr>
              <w:pStyle w:val="12"/>
              <w:spacing w:before="78" w:line="183" w:lineRule="auto"/>
              <w:jc w:val="center"/>
              <w:rPr>
                <w:rFonts w:hint="default" w:eastAsia="宋体"/>
                <w:lang w:val="en-US" w:eastAsia="zh-CN"/>
              </w:rPr>
            </w:pPr>
            <w:r>
              <w:rPr>
                <w:spacing w:val="-6"/>
              </w:rPr>
              <w:t>7</w:t>
            </w:r>
            <w:r>
              <w:rPr>
                <w:rFonts w:hint="eastAsia"/>
                <w:spacing w:val="-6"/>
                <w:lang w:val="en-US" w:eastAsia="zh-CN"/>
              </w:rPr>
              <w:t>.1</w:t>
            </w:r>
          </w:p>
        </w:tc>
        <w:tc>
          <w:tcPr>
            <w:tcW w:w="1659" w:type="dxa"/>
            <w:vAlign w:val="top"/>
          </w:tcPr>
          <w:p w14:paraId="404F2BB7">
            <w:pPr>
              <w:pStyle w:val="12"/>
              <w:spacing w:before="78" w:line="220" w:lineRule="auto"/>
              <w:jc w:val="center"/>
            </w:pPr>
            <w:r>
              <w:rPr>
                <w:spacing w:val="-3"/>
              </w:rPr>
              <w:t>履约保证金</w:t>
            </w:r>
          </w:p>
        </w:tc>
        <w:tc>
          <w:tcPr>
            <w:tcW w:w="7158" w:type="dxa"/>
            <w:vAlign w:val="top"/>
          </w:tcPr>
          <w:p w14:paraId="06F654FE">
            <w:pPr>
              <w:pStyle w:val="12"/>
              <w:spacing w:before="54" w:line="243" w:lineRule="auto"/>
              <w:ind w:left="113" w:right="114" w:firstLine="1"/>
              <w:rPr>
                <w:rFonts w:hint="eastAsia" w:eastAsia="宋体"/>
                <w:lang w:eastAsia="zh-CN"/>
              </w:rPr>
            </w:pPr>
            <w:r>
              <w:rPr>
                <w:rFonts w:hint="eastAsia"/>
                <w:spacing w:val="1"/>
                <w:lang w:eastAsia="zh-CN"/>
              </w:rPr>
              <w:t>无</w:t>
            </w:r>
          </w:p>
        </w:tc>
      </w:tr>
      <w:tr w14:paraId="1510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62" w:type="dxa"/>
            <w:vAlign w:val="top"/>
          </w:tcPr>
          <w:p w14:paraId="4C2F71A4">
            <w:pPr>
              <w:pStyle w:val="12"/>
              <w:spacing w:before="78" w:line="220" w:lineRule="auto"/>
              <w:jc w:val="center"/>
              <w:rPr>
                <w:rFonts w:hint="eastAsia" w:ascii="宋体" w:hAnsi="宋体" w:eastAsia="宋体" w:cs="宋体"/>
                <w:spacing w:val="-3"/>
                <w:lang w:val="en-US" w:eastAsia="zh-CN"/>
              </w:rPr>
            </w:pPr>
            <w:r>
              <w:rPr>
                <w:rFonts w:ascii="宋体" w:hAnsi="宋体" w:eastAsia="宋体" w:cs="宋体"/>
                <w:spacing w:val="-3"/>
              </w:rPr>
              <w:t>7.</w:t>
            </w:r>
            <w:r>
              <w:rPr>
                <w:rFonts w:hint="eastAsia" w:ascii="宋体" w:hAnsi="宋体" w:eastAsia="宋体" w:cs="宋体"/>
                <w:spacing w:val="-3"/>
                <w:lang w:val="en-US" w:eastAsia="zh-CN"/>
              </w:rPr>
              <w:t>2</w:t>
            </w:r>
          </w:p>
        </w:tc>
        <w:tc>
          <w:tcPr>
            <w:tcW w:w="1659" w:type="dxa"/>
            <w:vAlign w:val="top"/>
          </w:tcPr>
          <w:p w14:paraId="7F45D29E">
            <w:pPr>
              <w:pStyle w:val="12"/>
              <w:spacing w:before="78" w:line="220" w:lineRule="auto"/>
              <w:jc w:val="center"/>
              <w:rPr>
                <w:rFonts w:ascii="宋体" w:hAnsi="宋体" w:eastAsia="宋体" w:cs="宋体"/>
                <w:spacing w:val="-3"/>
              </w:rPr>
            </w:pPr>
            <w:r>
              <w:rPr>
                <w:rFonts w:ascii="宋体" w:hAnsi="宋体" w:eastAsia="宋体" w:cs="宋体"/>
                <w:spacing w:val="-3"/>
              </w:rPr>
              <w:t>安全风险抵押金</w:t>
            </w:r>
          </w:p>
        </w:tc>
        <w:tc>
          <w:tcPr>
            <w:tcW w:w="7158" w:type="dxa"/>
            <w:vAlign w:val="top"/>
          </w:tcPr>
          <w:p w14:paraId="13D88DCE">
            <w:pPr>
              <w:pStyle w:val="12"/>
              <w:spacing w:before="103" w:line="268" w:lineRule="auto"/>
              <w:ind w:left="119" w:right="114" w:hanging="4"/>
              <w:rPr>
                <w:rFonts w:hint="eastAsia" w:eastAsia="宋体"/>
                <w:lang w:eastAsia="zh-CN"/>
              </w:rPr>
            </w:pPr>
            <w:r>
              <w:rPr>
                <w:rFonts w:hint="eastAsia" w:ascii="宋体" w:hAnsi="宋体" w:eastAsia="宋体" w:cs="宋体"/>
                <w:lang w:val="en-US" w:eastAsia="zh-CN"/>
              </w:rPr>
              <w:t>无</w:t>
            </w:r>
          </w:p>
        </w:tc>
      </w:tr>
      <w:tr w14:paraId="5DD20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62" w:type="dxa"/>
            <w:vAlign w:val="top"/>
          </w:tcPr>
          <w:p w14:paraId="4B84CAE5">
            <w:pPr>
              <w:spacing w:line="343" w:lineRule="auto"/>
              <w:jc w:val="center"/>
              <w:rPr>
                <w:rFonts w:ascii="Arial"/>
                <w:sz w:val="21"/>
              </w:rPr>
            </w:pPr>
          </w:p>
          <w:p w14:paraId="3F8BDE86">
            <w:pPr>
              <w:spacing w:line="344" w:lineRule="auto"/>
              <w:jc w:val="center"/>
              <w:rPr>
                <w:rFonts w:ascii="Arial"/>
                <w:sz w:val="21"/>
              </w:rPr>
            </w:pPr>
          </w:p>
          <w:p w14:paraId="46399948">
            <w:pPr>
              <w:pStyle w:val="12"/>
              <w:spacing w:before="78" w:line="184" w:lineRule="auto"/>
              <w:ind w:left="310"/>
              <w:jc w:val="center"/>
              <w:rPr>
                <w:rFonts w:hint="eastAsia" w:eastAsia="宋体"/>
                <w:lang w:eastAsia="zh-CN"/>
              </w:rPr>
            </w:pPr>
            <w:r>
              <w:rPr>
                <w:rFonts w:hint="eastAsia"/>
                <w:spacing w:val="-4"/>
                <w:lang w:val="en-US" w:eastAsia="zh-CN"/>
              </w:rPr>
              <w:t>8</w:t>
            </w:r>
          </w:p>
        </w:tc>
        <w:tc>
          <w:tcPr>
            <w:tcW w:w="1659" w:type="dxa"/>
            <w:vAlign w:val="top"/>
          </w:tcPr>
          <w:p w14:paraId="0B2C3C2E">
            <w:pPr>
              <w:spacing w:line="336" w:lineRule="auto"/>
              <w:rPr>
                <w:rFonts w:ascii="Arial"/>
                <w:sz w:val="21"/>
              </w:rPr>
            </w:pPr>
          </w:p>
          <w:p w14:paraId="32BA1B24">
            <w:pPr>
              <w:spacing w:line="336" w:lineRule="auto"/>
              <w:rPr>
                <w:rFonts w:ascii="Arial"/>
                <w:sz w:val="21"/>
              </w:rPr>
            </w:pPr>
          </w:p>
          <w:p w14:paraId="57096D06">
            <w:pPr>
              <w:pStyle w:val="12"/>
              <w:spacing w:before="78" w:line="220" w:lineRule="auto"/>
              <w:ind w:left="356"/>
            </w:pPr>
            <w:r>
              <w:rPr>
                <w:spacing w:val="-3"/>
              </w:rPr>
              <w:t>重新谈判</w:t>
            </w:r>
          </w:p>
        </w:tc>
        <w:tc>
          <w:tcPr>
            <w:tcW w:w="7158" w:type="dxa"/>
            <w:vAlign w:val="top"/>
          </w:tcPr>
          <w:p w14:paraId="10C8F6BA">
            <w:pPr>
              <w:pStyle w:val="12"/>
              <w:spacing w:before="70" w:line="219" w:lineRule="auto"/>
              <w:ind w:left="115"/>
            </w:pPr>
            <w:r>
              <w:rPr>
                <w:spacing w:val="-1"/>
              </w:rPr>
              <w:t>有下列情形之一的，采购人将重新谈判</w:t>
            </w:r>
          </w:p>
          <w:p w14:paraId="1ED5BA5F">
            <w:pPr>
              <w:pStyle w:val="12"/>
              <w:spacing w:before="53" w:line="219" w:lineRule="auto"/>
              <w:ind w:left="132"/>
            </w:pPr>
            <w:r>
              <w:rPr>
                <w:spacing w:val="-2"/>
              </w:rPr>
              <w:t>1.截至到谈判开始时间，提交响应文件的供应商少于</w:t>
            </w:r>
            <w:r>
              <w:rPr>
                <w:spacing w:val="-42"/>
              </w:rPr>
              <w:t xml:space="preserve"> </w:t>
            </w:r>
            <w:r>
              <w:rPr>
                <w:spacing w:val="-2"/>
              </w:rPr>
              <w:t>3</w:t>
            </w:r>
            <w:r>
              <w:rPr>
                <w:spacing w:val="-51"/>
              </w:rPr>
              <w:t xml:space="preserve"> </w:t>
            </w:r>
            <w:r>
              <w:rPr>
                <w:spacing w:val="-2"/>
              </w:rPr>
              <w:t>个的；</w:t>
            </w:r>
          </w:p>
          <w:p w14:paraId="54C0124E">
            <w:pPr>
              <w:pStyle w:val="12"/>
              <w:spacing w:before="56" w:line="249" w:lineRule="auto"/>
              <w:ind w:left="117" w:right="114"/>
            </w:pPr>
            <w:r>
              <w:rPr>
                <w:spacing w:val="-2"/>
              </w:rPr>
              <w:t>2.经评审委员会评审，否决部分供应商响应文件后少于</w:t>
            </w:r>
            <w:r>
              <w:rPr>
                <w:spacing w:val="-45"/>
              </w:rPr>
              <w:t xml:space="preserve"> </w:t>
            </w:r>
            <w:r>
              <w:rPr>
                <w:spacing w:val="-2"/>
              </w:rPr>
              <w:t>3</w:t>
            </w:r>
            <w:r>
              <w:rPr>
                <w:spacing w:val="-51"/>
              </w:rPr>
              <w:t xml:space="preserve"> </w:t>
            </w:r>
            <w:r>
              <w:rPr>
                <w:spacing w:val="-3"/>
              </w:rPr>
              <w:t>个，缺乏</w:t>
            </w:r>
            <w:r>
              <w:t xml:space="preserve"> </w:t>
            </w:r>
            <w:r>
              <w:rPr>
                <w:spacing w:val="-3"/>
              </w:rPr>
              <w:t>竞争性的；</w:t>
            </w:r>
          </w:p>
          <w:p w14:paraId="720E0D4F">
            <w:pPr>
              <w:pStyle w:val="12"/>
              <w:spacing w:before="31" w:line="204" w:lineRule="auto"/>
              <w:ind w:left="119"/>
            </w:pPr>
            <w:r>
              <w:rPr>
                <w:spacing w:val="-1"/>
              </w:rPr>
              <w:t>3.经评审委员会评审否决所有响应文件的。</w:t>
            </w:r>
          </w:p>
        </w:tc>
      </w:tr>
      <w:tr w14:paraId="3B18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vAlign w:val="top"/>
          </w:tcPr>
          <w:p w14:paraId="1CEF1C1A">
            <w:pPr>
              <w:pStyle w:val="12"/>
              <w:spacing w:before="296" w:line="184" w:lineRule="auto"/>
              <w:ind w:left="266"/>
              <w:jc w:val="center"/>
            </w:pPr>
            <w:r>
              <w:rPr>
                <w:rFonts w:hint="eastAsia"/>
                <w:spacing w:val="-7"/>
                <w:lang w:val="en-US" w:eastAsia="zh-CN"/>
              </w:rPr>
              <w:t>9</w:t>
            </w:r>
            <w:r>
              <w:rPr>
                <w:spacing w:val="-7"/>
              </w:rPr>
              <w:t>.1</w:t>
            </w:r>
          </w:p>
        </w:tc>
        <w:tc>
          <w:tcPr>
            <w:tcW w:w="8817" w:type="dxa"/>
            <w:gridSpan w:val="2"/>
            <w:vAlign w:val="top"/>
          </w:tcPr>
          <w:p w14:paraId="6C396905">
            <w:pPr>
              <w:pStyle w:val="12"/>
              <w:spacing w:before="106" w:line="246" w:lineRule="auto"/>
              <w:ind w:left="111" w:right="114"/>
            </w:pPr>
            <w:r>
              <w:rPr>
                <w:spacing w:val="-2"/>
              </w:rPr>
              <w:t>在任何评审环节中，需评审委员会就某项定性的评审结论做出表决的，由评审委员</w:t>
            </w:r>
            <w:r>
              <w:rPr>
                <w:spacing w:val="16"/>
              </w:rPr>
              <w:t xml:space="preserve"> </w:t>
            </w:r>
            <w:r>
              <w:rPr>
                <w:spacing w:val="-1"/>
              </w:rPr>
              <w:t>会全体成员按照少数服从多数的原则，以记名投票方式表决。</w:t>
            </w:r>
          </w:p>
        </w:tc>
      </w:tr>
      <w:tr w14:paraId="7BB43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2" w:type="dxa"/>
            <w:vAlign w:val="top"/>
          </w:tcPr>
          <w:p w14:paraId="0CA6C7B7">
            <w:pPr>
              <w:pStyle w:val="12"/>
              <w:spacing w:before="298" w:line="184" w:lineRule="auto"/>
              <w:ind w:left="266"/>
            </w:pPr>
            <w:r>
              <w:rPr>
                <w:rFonts w:hint="eastAsia"/>
                <w:spacing w:val="-7"/>
                <w:lang w:val="en-US" w:eastAsia="zh-CN"/>
              </w:rPr>
              <w:t>9</w:t>
            </w:r>
            <w:r>
              <w:rPr>
                <w:spacing w:val="-7"/>
              </w:rPr>
              <w:t>.2</w:t>
            </w:r>
          </w:p>
        </w:tc>
        <w:tc>
          <w:tcPr>
            <w:tcW w:w="8817" w:type="dxa"/>
            <w:gridSpan w:val="2"/>
            <w:vAlign w:val="top"/>
          </w:tcPr>
          <w:p w14:paraId="03E41D59">
            <w:pPr>
              <w:pStyle w:val="12"/>
              <w:spacing w:before="108" w:line="219" w:lineRule="auto"/>
              <w:ind w:left="112"/>
            </w:pPr>
            <w:r>
              <w:rPr>
                <w:spacing w:val="-3"/>
              </w:rPr>
              <w:t>供应商认为谈判文件中有限制、排斥供应商</w:t>
            </w:r>
            <w:r>
              <w:rPr>
                <w:spacing w:val="-4"/>
              </w:rPr>
              <w:t>情形的，应当在谈判开始时间</w:t>
            </w:r>
            <w:r>
              <w:rPr>
                <w:spacing w:val="-47"/>
              </w:rPr>
              <w:t xml:space="preserve"> </w:t>
            </w:r>
            <w:r>
              <w:rPr>
                <w:spacing w:val="-4"/>
              </w:rPr>
              <w:t>2 日前向</w:t>
            </w:r>
          </w:p>
          <w:p w14:paraId="473529DC">
            <w:pPr>
              <w:pStyle w:val="12"/>
              <w:spacing w:before="53" w:line="219" w:lineRule="auto"/>
              <w:ind w:left="111"/>
              <w:outlineLvl w:val="0"/>
            </w:pPr>
            <w:r>
              <w:t>采购人书面提出，未在规定时间内提出异议的，视</w:t>
            </w:r>
            <w:r>
              <w:rPr>
                <w:spacing w:val="-1"/>
              </w:rPr>
              <w:t>为对谈判文件无异议。</w:t>
            </w:r>
          </w:p>
        </w:tc>
      </w:tr>
    </w:tbl>
    <w:p w14:paraId="56CEFF13">
      <w:pPr>
        <w:pStyle w:val="5"/>
      </w:pPr>
    </w:p>
    <w:p w14:paraId="071698F1">
      <w:pPr>
        <w:sectPr>
          <w:footerReference r:id="rId9" w:type="default"/>
          <w:pgSz w:w="11906" w:h="16839"/>
          <w:pgMar w:top="1418" w:right="1057" w:bottom="1156" w:left="1063" w:header="0" w:footer="994" w:gutter="0"/>
          <w:cols w:space="720" w:num="1"/>
        </w:sectPr>
      </w:pPr>
    </w:p>
    <w:p w14:paraId="0593CFDC">
      <w:pPr>
        <w:pStyle w:val="19"/>
        <w:rPr>
          <w:rStyle w:val="20"/>
          <w:b/>
          <w:bCs w:val="0"/>
          <w:sz w:val="32"/>
          <w:szCs w:val="32"/>
        </w:rPr>
      </w:pPr>
      <w:bookmarkStart w:id="0" w:name="_Toc8764"/>
      <w:bookmarkStart w:id="1" w:name="_Toc4793"/>
      <w:r>
        <w:rPr>
          <w:rFonts w:hint="eastAsia"/>
          <w:b/>
          <w:bCs w:val="0"/>
          <w:sz w:val="32"/>
          <w:szCs w:val="32"/>
          <w:lang w:val="en-US" w:eastAsia="zh-CN"/>
        </w:rPr>
        <w:t>谈判</w:t>
      </w:r>
      <w:r>
        <w:rPr>
          <w:rFonts w:hint="eastAsia"/>
          <w:b/>
          <w:bCs w:val="0"/>
          <w:sz w:val="32"/>
          <w:szCs w:val="32"/>
        </w:rPr>
        <w:t>须知正文部分</w:t>
      </w:r>
      <w:bookmarkEnd w:id="0"/>
      <w:bookmarkEnd w:id="1"/>
    </w:p>
    <w:p w14:paraId="0449D690">
      <w:pPr>
        <w:pStyle w:val="13"/>
        <w:rPr>
          <w:rStyle w:val="20"/>
          <w:b w:val="0"/>
          <w:bCs w:val="0"/>
        </w:rPr>
      </w:pPr>
      <w:bookmarkStart w:id="2" w:name="_Toc507936013"/>
      <w:bookmarkStart w:id="3" w:name="_Toc506105818"/>
      <w:r>
        <w:rPr>
          <w:rStyle w:val="20"/>
          <w:rFonts w:hint="eastAsia"/>
          <w:b w:val="0"/>
          <w:bCs w:val="0"/>
        </w:rPr>
        <w:t>1.总则</w:t>
      </w:r>
      <w:bookmarkEnd w:id="2"/>
      <w:bookmarkEnd w:id="3"/>
    </w:p>
    <w:p w14:paraId="23259A9A">
      <w:pPr>
        <w:pStyle w:val="18"/>
      </w:pPr>
      <w:bookmarkStart w:id="4" w:name="_Toc507936014"/>
      <w:bookmarkStart w:id="5" w:name="_Toc506105819"/>
      <w:r>
        <w:rPr>
          <w:rFonts w:hint="eastAsia"/>
        </w:rPr>
        <w:t>1.1 项目概况</w:t>
      </w:r>
      <w:bookmarkEnd w:id="4"/>
      <w:bookmarkEnd w:id="5"/>
    </w:p>
    <w:p w14:paraId="79AB4B04">
      <w:pPr>
        <w:pStyle w:val="21"/>
        <w:keepNext w:val="0"/>
        <w:keepLines w:val="0"/>
        <w:spacing w:before="0" w:line="360" w:lineRule="auto"/>
        <w:ind w:firstLine="480" w:firstLineChars="200"/>
        <w:rPr>
          <w:szCs w:val="28"/>
        </w:rPr>
      </w:pPr>
      <w:r>
        <w:rPr>
          <w:rFonts w:hint="eastAsia" w:ascii="宋体" w:hAnsi="宋体" w:cs="仿宋"/>
          <w:sz w:val="24"/>
        </w:rPr>
        <w:t>1.1.</w:t>
      </w:r>
      <w:r>
        <w:rPr>
          <w:rFonts w:hint="eastAsia" w:ascii="宋体" w:hAnsi="宋体" w:cs="仿宋"/>
          <w:sz w:val="24"/>
          <w:lang w:eastAsia="zh-CN"/>
        </w:rPr>
        <w:t>1</w:t>
      </w:r>
      <w:r>
        <w:rPr>
          <w:rFonts w:hint="eastAsia" w:ascii="宋体" w:hAnsi="宋体" w:cs="仿宋"/>
          <w:sz w:val="24"/>
        </w:rPr>
        <w:t xml:space="preserve"> </w:t>
      </w:r>
      <w:r>
        <w:rPr>
          <w:rFonts w:hint="eastAsia" w:ascii="宋体" w:hAnsi="宋体" w:eastAsia="宋体" w:cs="仿宋"/>
          <w:kern w:val="2"/>
          <w:sz w:val="24"/>
          <w:szCs w:val="24"/>
          <w:lang w:val="en-US" w:eastAsia="zh-CN"/>
        </w:rPr>
        <w:t>采购人：</w:t>
      </w:r>
      <w:r>
        <w:rPr>
          <w:rFonts w:hint="eastAsia" w:ascii="宋体" w:hAnsi="宋体" w:eastAsia="宋体" w:cs="仿宋"/>
          <w:b w:val="0"/>
          <w:bCs w:val="0"/>
          <w:sz w:val="24"/>
          <w:szCs w:val="24"/>
          <w:lang w:val="en-US" w:eastAsia="zh-CN" w:bidi="ar-SA"/>
        </w:rPr>
        <w:t>详见谈判</w:t>
      </w:r>
      <w:r>
        <w:rPr>
          <w:rFonts w:hint="eastAsia" w:ascii="宋体" w:hAnsi="宋体" w:eastAsia="宋体" w:cs="仿宋"/>
          <w:kern w:val="2"/>
          <w:sz w:val="24"/>
          <w:szCs w:val="24"/>
          <w:lang w:val="en-US" w:eastAsia="zh-CN"/>
        </w:rPr>
        <w:t>须知前附表</w:t>
      </w:r>
    </w:p>
    <w:p w14:paraId="3F05B7A4">
      <w:pPr>
        <w:spacing w:line="360" w:lineRule="auto"/>
        <w:ind w:firstLine="480" w:firstLineChars="200"/>
        <w:rPr>
          <w:rFonts w:hint="eastAsia" w:ascii="宋体" w:hAnsi="宋体" w:cs="仿宋"/>
          <w:sz w:val="24"/>
        </w:rPr>
      </w:pPr>
      <w:r>
        <w:rPr>
          <w:rFonts w:hint="eastAsia" w:ascii="宋体" w:hAnsi="宋体" w:cs="仿宋"/>
          <w:sz w:val="24"/>
        </w:rPr>
        <w:t xml:space="preserve">1.1.2 </w:t>
      </w:r>
      <w:r>
        <w:rPr>
          <w:rFonts w:hint="eastAsia" w:cs="仿宋"/>
          <w:sz w:val="24"/>
          <w:lang w:val="en-US" w:eastAsia="zh-CN"/>
        </w:rPr>
        <w:t>采购</w:t>
      </w:r>
      <w:r>
        <w:rPr>
          <w:rFonts w:hint="eastAsia" w:ascii="宋体" w:hAnsi="宋体" w:cs="仿宋"/>
          <w:sz w:val="24"/>
        </w:rPr>
        <w:t>项目名称：详见</w:t>
      </w:r>
      <w:r>
        <w:rPr>
          <w:rFonts w:hint="eastAsia" w:cs="仿宋"/>
          <w:sz w:val="24"/>
          <w:lang w:val="en-US" w:eastAsia="zh-CN"/>
        </w:rPr>
        <w:t>谈判</w:t>
      </w:r>
      <w:r>
        <w:rPr>
          <w:rFonts w:hint="eastAsia" w:ascii="宋体" w:hAnsi="宋体" w:cs="仿宋"/>
          <w:sz w:val="24"/>
        </w:rPr>
        <w:t>须知前附表</w:t>
      </w:r>
    </w:p>
    <w:p w14:paraId="0547A103">
      <w:pPr>
        <w:spacing w:line="360" w:lineRule="auto"/>
        <w:ind w:firstLine="480" w:firstLineChars="200"/>
        <w:rPr>
          <w:rFonts w:ascii="宋体" w:hAnsi="宋体" w:cs="仿宋"/>
          <w:sz w:val="24"/>
        </w:rPr>
      </w:pPr>
      <w:r>
        <w:rPr>
          <w:rFonts w:hint="eastAsia" w:ascii="宋体" w:hAnsi="宋体" w:cs="仿宋"/>
          <w:sz w:val="24"/>
        </w:rPr>
        <w:t>1.1.3</w:t>
      </w:r>
      <w:r>
        <w:rPr>
          <w:rFonts w:hint="eastAsia" w:cs="仿宋"/>
          <w:sz w:val="24"/>
          <w:lang w:val="en-US" w:eastAsia="zh-CN"/>
        </w:rPr>
        <w:t>项目</w:t>
      </w:r>
      <w:r>
        <w:rPr>
          <w:rFonts w:hint="eastAsia" w:ascii="宋体" w:hAnsi="宋体" w:cs="仿宋"/>
          <w:sz w:val="24"/>
        </w:rPr>
        <w:t>概况: 详见</w:t>
      </w:r>
      <w:r>
        <w:rPr>
          <w:rFonts w:hint="eastAsia" w:cs="仿宋"/>
          <w:sz w:val="24"/>
          <w:lang w:val="en-US" w:eastAsia="zh-CN"/>
        </w:rPr>
        <w:t>谈判</w:t>
      </w:r>
      <w:r>
        <w:rPr>
          <w:rFonts w:hint="eastAsia" w:ascii="宋体" w:hAnsi="宋体" w:cs="仿宋"/>
          <w:sz w:val="24"/>
        </w:rPr>
        <w:t>须知前附表</w:t>
      </w:r>
    </w:p>
    <w:p w14:paraId="6A03AA4C">
      <w:pPr>
        <w:spacing w:line="360" w:lineRule="auto"/>
        <w:ind w:firstLine="480" w:firstLineChars="200"/>
        <w:rPr>
          <w:rFonts w:ascii="宋体" w:hAnsi="宋体" w:cs="仿宋"/>
          <w:sz w:val="24"/>
        </w:rPr>
      </w:pPr>
      <w:r>
        <w:rPr>
          <w:rFonts w:hint="eastAsia" w:ascii="宋体" w:hAnsi="宋体" w:cs="仿宋"/>
          <w:sz w:val="24"/>
        </w:rPr>
        <w:t>1.1.4 项目地点：详见</w:t>
      </w:r>
      <w:r>
        <w:rPr>
          <w:rFonts w:hint="eastAsia" w:cs="仿宋"/>
          <w:sz w:val="24"/>
          <w:lang w:val="en-US" w:eastAsia="zh-CN"/>
        </w:rPr>
        <w:t>谈判</w:t>
      </w:r>
      <w:r>
        <w:rPr>
          <w:rFonts w:hint="eastAsia" w:ascii="宋体" w:hAnsi="宋体" w:cs="仿宋"/>
          <w:sz w:val="24"/>
        </w:rPr>
        <w:t>须知前附表</w:t>
      </w:r>
    </w:p>
    <w:p w14:paraId="5D13F376">
      <w:pPr>
        <w:pStyle w:val="18"/>
      </w:pPr>
      <w:bookmarkStart w:id="6" w:name="_Toc247513954"/>
      <w:bookmarkStart w:id="7" w:name="_Toc328559028"/>
      <w:bookmarkStart w:id="8" w:name="_Toc506105820"/>
      <w:bookmarkStart w:id="9" w:name="_Toc300834951"/>
      <w:bookmarkStart w:id="10" w:name="_Toc25497"/>
      <w:bookmarkStart w:id="11" w:name="_Toc27657"/>
      <w:bookmarkStart w:id="12" w:name="_Toc247527555"/>
      <w:bookmarkStart w:id="13" w:name="_Toc507936015"/>
      <w:r>
        <w:rPr>
          <w:rFonts w:hint="eastAsia"/>
        </w:rPr>
        <w:t>1.2 项目资金来源</w:t>
      </w:r>
      <w:bookmarkEnd w:id="6"/>
      <w:bookmarkEnd w:id="7"/>
      <w:bookmarkEnd w:id="8"/>
      <w:bookmarkEnd w:id="9"/>
      <w:bookmarkEnd w:id="10"/>
      <w:bookmarkEnd w:id="11"/>
      <w:bookmarkEnd w:id="12"/>
      <w:r>
        <w:rPr>
          <w:rFonts w:hint="eastAsia"/>
        </w:rPr>
        <w:t>、</w:t>
      </w:r>
      <w:r>
        <w:rPr>
          <w:rFonts w:hint="eastAsia"/>
          <w:lang w:val="en-US" w:eastAsia="zh-CN"/>
        </w:rPr>
        <w:t>采购人</w:t>
      </w:r>
      <w:r>
        <w:rPr>
          <w:rFonts w:hint="eastAsia"/>
        </w:rPr>
        <w:t>式、</w:t>
      </w:r>
      <w:r>
        <w:rPr>
          <w:rFonts w:hint="eastAsia"/>
          <w:lang w:val="en-US" w:eastAsia="zh-CN"/>
        </w:rPr>
        <w:t>采购</w:t>
      </w:r>
      <w:r>
        <w:rPr>
          <w:rFonts w:hint="eastAsia"/>
        </w:rPr>
        <w:t>控价</w:t>
      </w:r>
      <w:bookmarkEnd w:id="13"/>
    </w:p>
    <w:p w14:paraId="42C0B6B0">
      <w:pPr>
        <w:spacing w:line="360" w:lineRule="auto"/>
        <w:ind w:firstLine="480" w:firstLineChars="200"/>
        <w:rPr>
          <w:rFonts w:hint="eastAsia" w:ascii="宋体" w:hAnsi="宋体" w:cs="仿宋"/>
          <w:sz w:val="24"/>
        </w:rPr>
      </w:pPr>
      <w:r>
        <w:rPr>
          <w:rFonts w:hint="eastAsia" w:ascii="宋体" w:hAnsi="宋体" w:cs="仿宋"/>
          <w:sz w:val="24"/>
        </w:rPr>
        <w:t>1.2.1 项目资金来源：</w:t>
      </w:r>
      <w:bookmarkStart w:id="14" w:name="_Toc247513955"/>
      <w:bookmarkStart w:id="15" w:name="_Toc328559029"/>
      <w:bookmarkStart w:id="16" w:name="_Toc30612"/>
      <w:bookmarkStart w:id="17" w:name="_Toc247527556"/>
      <w:bookmarkStart w:id="18" w:name="_Toc300834952"/>
      <w:bookmarkStart w:id="19" w:name="_Toc16572"/>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4A5B3894">
      <w:pPr>
        <w:spacing w:line="360" w:lineRule="auto"/>
        <w:ind w:firstLine="480" w:firstLineChars="200"/>
        <w:rPr>
          <w:rFonts w:hint="eastAsia" w:ascii="宋体" w:hAnsi="宋体" w:cs="仿宋"/>
          <w:sz w:val="24"/>
        </w:rPr>
      </w:pPr>
      <w:r>
        <w:rPr>
          <w:rFonts w:hint="eastAsia" w:ascii="宋体" w:hAnsi="宋体" w:cs="仿宋"/>
          <w:sz w:val="24"/>
        </w:rPr>
        <w:t>1.2.2</w:t>
      </w:r>
      <w:r>
        <w:rPr>
          <w:rFonts w:hint="eastAsia" w:cs="仿宋"/>
          <w:sz w:val="24"/>
          <w:lang w:val="en-US" w:eastAsia="zh-CN"/>
        </w:rPr>
        <w:t>采购人</w:t>
      </w:r>
      <w:r>
        <w:rPr>
          <w:rFonts w:hint="eastAsia" w:ascii="宋体" w:hAnsi="宋体" w:cs="仿宋"/>
          <w:sz w:val="24"/>
        </w:rPr>
        <w:t>式：详见</w:t>
      </w:r>
      <w:r>
        <w:rPr>
          <w:rFonts w:hint="eastAsia" w:cs="仿宋"/>
          <w:sz w:val="24"/>
          <w:lang w:val="en-US" w:eastAsia="zh-CN"/>
        </w:rPr>
        <w:t>谈判</w:t>
      </w:r>
      <w:r>
        <w:rPr>
          <w:rFonts w:hint="eastAsia" w:ascii="宋体" w:hAnsi="宋体" w:cs="仿宋"/>
          <w:sz w:val="24"/>
        </w:rPr>
        <w:t>须知前附表</w:t>
      </w:r>
    </w:p>
    <w:p w14:paraId="5B42B068">
      <w:pPr>
        <w:pStyle w:val="7"/>
        <w:ind w:left="0" w:leftChars="0" w:firstLine="480" w:firstLineChars="200"/>
        <w:rPr>
          <w:rFonts w:hint="eastAsia" w:eastAsia="宋体"/>
          <w:lang w:val="en-US" w:eastAsia="zh-CN"/>
        </w:rPr>
      </w:pPr>
      <w:r>
        <w:rPr>
          <w:rFonts w:hint="eastAsia" w:ascii="宋体" w:hAnsi="宋体" w:cs="仿宋"/>
          <w:sz w:val="24"/>
          <w:lang w:val="en-US" w:eastAsia="zh-CN"/>
        </w:rPr>
        <w:t>1.2.3</w:t>
      </w:r>
      <w:r>
        <w:rPr>
          <w:rFonts w:hint="eastAsia"/>
          <w:lang w:val="en-US" w:eastAsia="zh-CN"/>
        </w:rPr>
        <w:t>采购</w:t>
      </w:r>
      <w:r>
        <w:rPr>
          <w:rFonts w:hint="eastAsia"/>
        </w:rPr>
        <w:t>控价</w:t>
      </w:r>
      <w:r>
        <w:rPr>
          <w:rFonts w:hint="eastAsia"/>
          <w:lang w:eastAsia="zh-CN"/>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477481C5">
      <w:pPr>
        <w:pStyle w:val="18"/>
      </w:pPr>
      <w:bookmarkStart w:id="20" w:name="_Toc506105821"/>
      <w:bookmarkStart w:id="21" w:name="_Toc507936016"/>
      <w:r>
        <w:rPr>
          <w:rFonts w:hint="eastAsia"/>
        </w:rPr>
        <w:t xml:space="preserve">1.3 </w:t>
      </w:r>
      <w:r>
        <w:rPr>
          <w:rFonts w:hint="eastAsia"/>
          <w:lang w:val="en-US" w:eastAsia="zh-CN"/>
        </w:rPr>
        <w:t>采购</w:t>
      </w:r>
      <w:r>
        <w:rPr>
          <w:rFonts w:hint="eastAsia"/>
        </w:rPr>
        <w:t>范围、供货周期、</w:t>
      </w:r>
      <w:bookmarkEnd w:id="14"/>
      <w:bookmarkEnd w:id="15"/>
      <w:bookmarkEnd w:id="16"/>
      <w:bookmarkEnd w:id="17"/>
      <w:bookmarkEnd w:id="18"/>
      <w:bookmarkEnd w:id="19"/>
      <w:bookmarkEnd w:id="20"/>
      <w:r>
        <w:rPr>
          <w:rFonts w:hint="eastAsia"/>
          <w:lang w:val="en-US" w:eastAsia="zh-CN"/>
        </w:rPr>
        <w:t>交货地点</w:t>
      </w:r>
      <w:r>
        <w:rPr>
          <w:rFonts w:hint="eastAsia"/>
        </w:rPr>
        <w:t>和质保期</w:t>
      </w:r>
      <w:bookmarkEnd w:id="21"/>
    </w:p>
    <w:p w14:paraId="69EF6326">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 xml:space="preserve">1.3.1 </w:t>
      </w:r>
      <w:r>
        <w:rPr>
          <w:rFonts w:hint="eastAsia" w:cs="仿宋"/>
          <w:sz w:val="24"/>
          <w:lang w:val="en-US" w:eastAsia="zh-CN"/>
        </w:rPr>
        <w:t>采购</w:t>
      </w:r>
      <w:r>
        <w:rPr>
          <w:rFonts w:hint="eastAsia" w:ascii="宋体" w:hAnsi="宋体" w:cs="仿宋"/>
          <w:sz w:val="24"/>
        </w:rPr>
        <w:t>范围：详见</w:t>
      </w:r>
      <w:r>
        <w:rPr>
          <w:rFonts w:hint="eastAsia" w:cs="仿宋"/>
          <w:sz w:val="24"/>
          <w:lang w:val="en-US" w:eastAsia="zh-CN"/>
        </w:rPr>
        <w:t>谈判</w:t>
      </w:r>
      <w:r>
        <w:rPr>
          <w:rFonts w:hint="eastAsia" w:ascii="宋体" w:hAnsi="宋体" w:cs="仿宋"/>
          <w:sz w:val="24"/>
        </w:rPr>
        <w:t>须知前附表</w:t>
      </w:r>
    </w:p>
    <w:p w14:paraId="1EDD5C39">
      <w:pPr>
        <w:spacing w:line="360" w:lineRule="auto"/>
        <w:ind w:firstLine="480" w:firstLineChars="200"/>
        <w:rPr>
          <w:rFonts w:hint="eastAsia" w:ascii="宋体" w:hAnsi="宋体" w:cs="仿宋"/>
          <w:sz w:val="24"/>
        </w:rPr>
      </w:pPr>
      <w:r>
        <w:rPr>
          <w:rFonts w:hint="eastAsia" w:ascii="宋体" w:hAnsi="宋体" w:cs="仿宋"/>
          <w:sz w:val="24"/>
        </w:rPr>
        <w:t>1.3.2 供货周期：详见</w:t>
      </w:r>
      <w:r>
        <w:rPr>
          <w:rFonts w:hint="eastAsia" w:cs="仿宋"/>
          <w:sz w:val="24"/>
          <w:lang w:val="en-US" w:eastAsia="zh-CN"/>
        </w:rPr>
        <w:t>谈判</w:t>
      </w:r>
      <w:r>
        <w:rPr>
          <w:rFonts w:hint="eastAsia" w:ascii="宋体" w:hAnsi="宋体" w:cs="仿宋"/>
          <w:sz w:val="24"/>
        </w:rPr>
        <w:t>须知前附表</w:t>
      </w:r>
    </w:p>
    <w:p w14:paraId="03B23B65">
      <w:pPr>
        <w:spacing w:line="360" w:lineRule="auto"/>
        <w:ind w:firstLine="480" w:firstLineChars="200"/>
        <w:rPr>
          <w:rFonts w:hint="eastAsia" w:ascii="宋体" w:hAnsi="宋体" w:cs="仿宋"/>
          <w:sz w:val="24"/>
        </w:rPr>
      </w:pPr>
      <w:r>
        <w:rPr>
          <w:rFonts w:hint="eastAsia" w:ascii="宋体" w:hAnsi="宋体" w:cs="仿宋"/>
          <w:sz w:val="24"/>
        </w:rPr>
        <w:t>1.3.3 交货地点：详见</w:t>
      </w:r>
      <w:r>
        <w:rPr>
          <w:rFonts w:hint="eastAsia" w:cs="仿宋"/>
          <w:sz w:val="24"/>
          <w:lang w:val="en-US" w:eastAsia="zh-CN"/>
        </w:rPr>
        <w:t>谈判</w:t>
      </w:r>
      <w:r>
        <w:rPr>
          <w:rFonts w:hint="eastAsia" w:ascii="宋体" w:hAnsi="宋体" w:cs="仿宋"/>
          <w:sz w:val="24"/>
        </w:rPr>
        <w:t>须知前附表</w:t>
      </w:r>
    </w:p>
    <w:p w14:paraId="7994003F">
      <w:pPr>
        <w:spacing w:line="360" w:lineRule="auto"/>
        <w:ind w:firstLine="480" w:firstLineChars="200"/>
        <w:rPr>
          <w:rFonts w:ascii="宋体" w:hAnsi="宋体" w:cs="仿宋"/>
          <w:sz w:val="24"/>
        </w:rPr>
      </w:pPr>
      <w:r>
        <w:rPr>
          <w:rFonts w:hint="eastAsia" w:ascii="宋体" w:hAnsi="宋体" w:cs="仿宋"/>
          <w:sz w:val="24"/>
        </w:rPr>
        <w:t>1.3.4质保期：详见</w:t>
      </w:r>
      <w:r>
        <w:rPr>
          <w:rFonts w:hint="eastAsia" w:cs="仿宋"/>
          <w:sz w:val="24"/>
          <w:lang w:val="en-US" w:eastAsia="zh-CN"/>
        </w:rPr>
        <w:t>谈判</w:t>
      </w:r>
      <w:r>
        <w:rPr>
          <w:rFonts w:hint="eastAsia" w:ascii="宋体" w:hAnsi="宋体" w:cs="仿宋"/>
          <w:sz w:val="24"/>
        </w:rPr>
        <w:t>须知前附表</w:t>
      </w:r>
    </w:p>
    <w:p w14:paraId="3A80EAC6">
      <w:pPr>
        <w:pStyle w:val="18"/>
      </w:pPr>
      <w:bookmarkStart w:id="22" w:name="_Toc507936017"/>
      <w:bookmarkStart w:id="23" w:name="_Toc506105822"/>
      <w:r>
        <w:rPr>
          <w:rFonts w:hint="eastAsia"/>
        </w:rPr>
        <w:t xml:space="preserve">1.4 </w:t>
      </w:r>
      <w:r>
        <w:rPr>
          <w:rFonts w:hint="eastAsia"/>
          <w:lang w:eastAsia="zh-CN"/>
        </w:rPr>
        <w:t>供应商</w:t>
      </w:r>
      <w:r>
        <w:rPr>
          <w:rFonts w:hint="eastAsia"/>
        </w:rPr>
        <w:t>资格要求</w:t>
      </w:r>
      <w:bookmarkEnd w:id="22"/>
      <w:bookmarkEnd w:id="23"/>
    </w:p>
    <w:p w14:paraId="1CC08FF5">
      <w:pPr>
        <w:ind w:firstLine="480" w:firstLineChars="200"/>
        <w:rPr>
          <w:rFonts w:ascii="宋体" w:hAnsi="宋体" w:cs="仿宋"/>
          <w:sz w:val="24"/>
        </w:rPr>
      </w:pPr>
      <w:r>
        <w:rPr>
          <w:rFonts w:hint="eastAsia" w:ascii="宋体" w:hAnsi="宋体" w:cs="仿宋"/>
          <w:sz w:val="24"/>
        </w:rPr>
        <w:t xml:space="preserve">1.4.1 </w:t>
      </w:r>
      <w:r>
        <w:rPr>
          <w:rFonts w:hint="eastAsia" w:cs="宋体"/>
          <w:sz w:val="24"/>
          <w:lang w:val="en-US" w:eastAsia="zh-CN"/>
        </w:rPr>
        <w:t>供应商</w:t>
      </w:r>
      <w:r>
        <w:rPr>
          <w:rFonts w:hint="eastAsia" w:ascii="宋体" w:hAnsi="宋体" w:cs="仿宋"/>
          <w:sz w:val="24"/>
        </w:rPr>
        <w:t>资格要求：详见</w:t>
      </w:r>
      <w:r>
        <w:rPr>
          <w:rFonts w:hint="eastAsia" w:cs="仿宋"/>
          <w:sz w:val="24"/>
          <w:lang w:val="en-US" w:eastAsia="zh-CN"/>
        </w:rPr>
        <w:t>谈判</w:t>
      </w:r>
      <w:r>
        <w:rPr>
          <w:rFonts w:hint="eastAsia" w:ascii="宋体" w:hAnsi="宋体" w:cs="仿宋"/>
          <w:sz w:val="24"/>
        </w:rPr>
        <w:t>须知前附表</w:t>
      </w:r>
    </w:p>
    <w:p w14:paraId="05429CB0">
      <w:pPr>
        <w:spacing w:line="360" w:lineRule="auto"/>
        <w:ind w:firstLine="480" w:firstLineChars="200"/>
        <w:rPr>
          <w:rFonts w:hint="eastAsia" w:ascii="宋体" w:hAnsi="宋体" w:cs="仿宋"/>
          <w:sz w:val="24"/>
        </w:rPr>
      </w:pPr>
      <w:r>
        <w:rPr>
          <w:rFonts w:hint="eastAsia" w:ascii="宋体" w:hAnsi="宋体" w:cs="仿宋"/>
          <w:sz w:val="24"/>
        </w:rPr>
        <w:t>1.4.2 本</w:t>
      </w:r>
      <w:r>
        <w:rPr>
          <w:rFonts w:hint="eastAsia" w:cs="仿宋"/>
          <w:sz w:val="24"/>
          <w:lang w:val="en-US" w:eastAsia="zh-CN"/>
        </w:rPr>
        <w:t>次采购</w:t>
      </w:r>
      <w:r>
        <w:rPr>
          <w:rFonts w:hint="eastAsia" w:ascii="宋体" w:hAnsi="宋体" w:cs="仿宋"/>
          <w:sz w:val="24"/>
        </w:rPr>
        <w:t>不接受联合体。</w:t>
      </w:r>
    </w:p>
    <w:p w14:paraId="4997F9A6">
      <w:pPr>
        <w:spacing w:line="360" w:lineRule="auto"/>
        <w:ind w:firstLine="480" w:firstLineChars="200"/>
        <w:rPr>
          <w:rFonts w:hint="eastAsia" w:ascii="宋体" w:hAnsi="宋体" w:eastAsia="宋体" w:cs="宋体"/>
          <w:sz w:val="24"/>
        </w:rPr>
      </w:pPr>
      <w:bookmarkStart w:id="24" w:name="_Toc507936018"/>
      <w:bookmarkStart w:id="25" w:name="_Toc506105823"/>
      <w:r>
        <w:rPr>
          <w:rFonts w:hint="eastAsia" w:ascii="宋体" w:hAnsi="宋体" w:eastAsia="宋体" w:cs="宋体"/>
          <w:sz w:val="24"/>
        </w:rPr>
        <w:t>1.4.3供应商不得存在下列情形之一：</w:t>
      </w:r>
    </w:p>
    <w:p w14:paraId="7B3DFD09">
      <w:pPr>
        <w:spacing w:line="360" w:lineRule="auto"/>
        <w:ind w:firstLine="480" w:firstLineChars="20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val="en-US" w:eastAsia="zh-CN"/>
        </w:rPr>
        <w:t>采购</w:t>
      </w:r>
      <w:r>
        <w:rPr>
          <w:rFonts w:hint="eastAsia" w:ascii="宋体" w:hAnsi="宋体" w:eastAsia="宋体" w:cs="宋体"/>
          <w:sz w:val="24"/>
        </w:rPr>
        <w:t>人存在利害关系且可能影响</w:t>
      </w:r>
      <w:r>
        <w:rPr>
          <w:rFonts w:hint="eastAsia" w:ascii="宋体" w:hAnsi="宋体" w:eastAsia="宋体" w:cs="宋体"/>
          <w:sz w:val="24"/>
          <w:lang w:val="en-US" w:eastAsia="zh-CN"/>
        </w:rPr>
        <w:t>采购</w:t>
      </w:r>
      <w:r>
        <w:rPr>
          <w:rFonts w:hint="eastAsia" w:ascii="宋体" w:hAnsi="宋体" w:eastAsia="宋体" w:cs="宋体"/>
          <w:sz w:val="24"/>
        </w:rPr>
        <w:t>公正性；</w:t>
      </w:r>
    </w:p>
    <w:p w14:paraId="7846FD95">
      <w:pPr>
        <w:spacing w:line="360" w:lineRule="auto"/>
        <w:ind w:firstLine="480" w:firstLineChars="200"/>
        <w:rPr>
          <w:rFonts w:hint="eastAsia" w:ascii="宋体" w:hAnsi="宋体" w:eastAsia="宋体" w:cs="宋体"/>
          <w:sz w:val="24"/>
        </w:rPr>
      </w:pPr>
      <w:r>
        <w:rPr>
          <w:rFonts w:hint="eastAsia" w:ascii="宋体" w:hAnsi="宋体" w:eastAsia="宋体" w:cs="宋体"/>
          <w:sz w:val="24"/>
        </w:rPr>
        <w:t>（2）与本采购项目的其他供应商为同一个单位负责人；</w:t>
      </w:r>
    </w:p>
    <w:p w14:paraId="0AC71778">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（3）与本采购项目的其他供应商存在控股、管理关系；</w:t>
      </w:r>
    </w:p>
    <w:p w14:paraId="781F25A3">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（4）与本采购项目其他供应商代理同一个制造商同一品牌同一型号的设备；</w:t>
      </w:r>
    </w:p>
    <w:p w14:paraId="7E87DCA1">
      <w:pPr>
        <w:spacing w:line="360" w:lineRule="auto"/>
        <w:ind w:firstLine="480" w:firstLineChars="200"/>
        <w:rPr>
          <w:rFonts w:hint="eastAsia" w:ascii="宋体" w:hAnsi="宋体" w:eastAsia="宋体" w:cs="宋体"/>
          <w:sz w:val="24"/>
        </w:rPr>
      </w:pPr>
      <w:r>
        <w:rPr>
          <w:rFonts w:hint="eastAsia" w:ascii="宋体" w:hAnsi="宋体" w:eastAsia="宋体" w:cs="宋体"/>
          <w:sz w:val="24"/>
        </w:rPr>
        <w:t>（5）被依法暂停或者取消资格；</w:t>
      </w:r>
    </w:p>
    <w:p w14:paraId="6794F707">
      <w:pPr>
        <w:spacing w:line="360" w:lineRule="auto"/>
        <w:ind w:firstLine="480" w:firstLineChars="200"/>
        <w:rPr>
          <w:rFonts w:hint="eastAsia" w:ascii="宋体" w:hAnsi="宋体" w:eastAsia="宋体" w:cs="宋体"/>
          <w:sz w:val="24"/>
        </w:rPr>
      </w:pPr>
      <w:r>
        <w:rPr>
          <w:rFonts w:hint="eastAsia" w:ascii="宋体" w:hAnsi="宋体" w:eastAsia="宋体" w:cs="宋体"/>
          <w:sz w:val="24"/>
        </w:rPr>
        <w:t>（6）被责令停产停业、暂扣或者吊销许可证、暂扣或者吊销执照；</w:t>
      </w:r>
    </w:p>
    <w:p w14:paraId="53389F84">
      <w:pPr>
        <w:spacing w:line="360" w:lineRule="auto"/>
        <w:ind w:firstLine="480" w:firstLineChars="200"/>
        <w:rPr>
          <w:rFonts w:hint="eastAsia" w:ascii="宋体" w:hAnsi="宋体" w:eastAsia="宋体" w:cs="宋体"/>
          <w:sz w:val="24"/>
        </w:rPr>
      </w:pPr>
      <w:r>
        <w:rPr>
          <w:rFonts w:hint="eastAsia" w:ascii="宋体" w:hAnsi="宋体" w:eastAsia="宋体" w:cs="宋体"/>
          <w:sz w:val="24"/>
        </w:rPr>
        <w:t>（7）进入清算程序，或被宣告破产，或其他丧失履约能力的情形；</w:t>
      </w:r>
    </w:p>
    <w:p w14:paraId="669F044B">
      <w:pPr>
        <w:spacing w:line="360" w:lineRule="auto"/>
        <w:ind w:firstLine="480" w:firstLineChars="200"/>
        <w:rPr>
          <w:rFonts w:hint="eastAsia" w:ascii="宋体" w:hAnsi="宋体" w:eastAsia="宋体" w:cs="宋体"/>
          <w:sz w:val="24"/>
        </w:rPr>
      </w:pPr>
      <w:r>
        <w:rPr>
          <w:rFonts w:hint="eastAsia" w:ascii="宋体" w:hAnsi="宋体" w:eastAsia="宋体" w:cs="宋体"/>
          <w:sz w:val="24"/>
        </w:rPr>
        <w:t>（8）在最近三年内发生重大产品质量问题（以相关行业主管部门的行政处罚决定或司法 机关出具的有关法律文书为准）；</w:t>
      </w:r>
    </w:p>
    <w:p w14:paraId="4106BFBF">
      <w:pPr>
        <w:spacing w:line="360" w:lineRule="auto"/>
        <w:ind w:firstLine="480" w:firstLineChars="200"/>
        <w:rPr>
          <w:rFonts w:hint="eastAsia" w:ascii="宋体" w:hAnsi="宋体" w:eastAsia="宋体" w:cs="宋体"/>
          <w:sz w:val="24"/>
        </w:rPr>
      </w:pPr>
      <w:r>
        <w:rPr>
          <w:rFonts w:hint="eastAsia" w:ascii="宋体" w:hAnsi="宋体" w:eastAsia="宋体" w:cs="宋体"/>
          <w:sz w:val="24"/>
        </w:rPr>
        <w:t>（9）被工商行政管理机关在全国企业信用信息公示系统中列入严重违法失信企业名单；</w:t>
      </w:r>
    </w:p>
    <w:p w14:paraId="424EC6BF">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10E30145">
      <w:pPr>
        <w:spacing w:line="360" w:lineRule="auto"/>
        <w:ind w:firstLine="480" w:firstLineChars="200"/>
        <w:rPr>
          <w:rFonts w:hint="eastAsia" w:ascii="宋体" w:hAnsi="宋体" w:eastAsia="宋体" w:cs="宋体"/>
          <w:sz w:val="24"/>
        </w:rPr>
      </w:pPr>
      <w:r>
        <w:rPr>
          <w:rFonts w:hint="eastAsia" w:ascii="宋体" w:hAnsi="宋体" w:eastAsia="宋体" w:cs="宋体"/>
          <w:sz w:val="24"/>
        </w:rPr>
        <w:t>（11）在近三年内供应商或其法定代表人有行贿犯罪行为的（以检察机关职务犯罪预防部门出具的查询结果为准）；</w:t>
      </w:r>
    </w:p>
    <w:p w14:paraId="3D49687B">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（12）法律法规或供应商须知前附表规定的其他情形。</w:t>
      </w:r>
    </w:p>
    <w:p w14:paraId="19AC2AB9">
      <w:pPr>
        <w:pStyle w:val="18"/>
      </w:pPr>
      <w:r>
        <w:rPr>
          <w:rFonts w:hint="eastAsia"/>
        </w:rPr>
        <w:t>1.5 费用承担</w:t>
      </w:r>
      <w:bookmarkEnd w:id="24"/>
      <w:bookmarkEnd w:id="25"/>
    </w:p>
    <w:p w14:paraId="07EBB607">
      <w:pPr>
        <w:ind w:firstLine="480" w:firstLineChars="200"/>
        <w:rPr>
          <w:rFonts w:ascii="宋体" w:hAnsi="宋体" w:cs="仿宋"/>
          <w:sz w:val="24"/>
        </w:rPr>
      </w:pPr>
      <w:r>
        <w:rPr>
          <w:rFonts w:hint="eastAsia" w:cs="宋体"/>
          <w:sz w:val="24"/>
          <w:lang w:val="en-US" w:eastAsia="zh-CN"/>
        </w:rPr>
        <w:t>供应商</w:t>
      </w:r>
      <w:r>
        <w:rPr>
          <w:rFonts w:hint="eastAsia" w:ascii="宋体" w:hAnsi="宋体" w:cs="仿宋"/>
          <w:sz w:val="24"/>
        </w:rPr>
        <w:t>准备和参加</w:t>
      </w:r>
      <w:r>
        <w:rPr>
          <w:rFonts w:hint="eastAsia" w:cs="仿宋"/>
          <w:sz w:val="24"/>
          <w:lang w:val="en-US" w:eastAsia="zh-CN"/>
        </w:rPr>
        <w:t>谈判</w:t>
      </w:r>
      <w:r>
        <w:rPr>
          <w:rFonts w:hint="eastAsia" w:ascii="宋体" w:hAnsi="宋体" w:cs="仿宋"/>
          <w:sz w:val="24"/>
        </w:rPr>
        <w:t>活动发生的费用自理。</w:t>
      </w:r>
    </w:p>
    <w:p w14:paraId="0A44E7AC">
      <w:pPr>
        <w:pStyle w:val="18"/>
      </w:pPr>
      <w:bookmarkStart w:id="26" w:name="_Toc507936019"/>
      <w:bookmarkStart w:id="27" w:name="_Toc506105824"/>
      <w:r>
        <w:rPr>
          <w:rFonts w:hint="eastAsia"/>
        </w:rPr>
        <w:t>1.6 保密</w:t>
      </w:r>
      <w:bookmarkEnd w:id="26"/>
      <w:bookmarkEnd w:id="27"/>
    </w:p>
    <w:p w14:paraId="6D362DF6">
      <w:pPr>
        <w:spacing w:line="360" w:lineRule="auto"/>
        <w:ind w:firstLine="480" w:firstLineChars="200"/>
        <w:rPr>
          <w:rFonts w:ascii="宋体" w:hAnsi="宋体" w:cs="仿宋"/>
          <w:sz w:val="24"/>
        </w:rPr>
      </w:pPr>
      <w:r>
        <w:rPr>
          <w:rFonts w:hint="eastAsia" w:ascii="宋体" w:hAnsi="宋体" w:cs="仿宋"/>
          <w:sz w:val="24"/>
        </w:rPr>
        <w:t>参与</w:t>
      </w:r>
      <w:r>
        <w:rPr>
          <w:rFonts w:hint="eastAsia" w:cs="仿宋"/>
          <w:sz w:val="24"/>
          <w:lang w:val="en-US" w:eastAsia="zh-CN"/>
        </w:rPr>
        <w:t>谈判</w:t>
      </w:r>
      <w:r>
        <w:rPr>
          <w:rFonts w:hint="eastAsia" w:ascii="宋体" w:hAnsi="宋体" w:cs="仿宋"/>
          <w:sz w:val="24"/>
        </w:rPr>
        <w:t>活动的各方应对</w:t>
      </w:r>
      <w:r>
        <w:rPr>
          <w:rFonts w:hint="eastAsia" w:cs="仿宋"/>
          <w:sz w:val="24"/>
          <w:lang w:val="en-US" w:eastAsia="zh-CN"/>
        </w:rPr>
        <w:t>谈判</w:t>
      </w:r>
      <w:r>
        <w:rPr>
          <w:rFonts w:hint="eastAsia" w:ascii="宋体" w:hAnsi="宋体" w:cs="仿宋"/>
          <w:sz w:val="24"/>
        </w:rPr>
        <w:t>文件和</w:t>
      </w:r>
      <w:r>
        <w:rPr>
          <w:rFonts w:hint="eastAsia" w:cs="仿宋"/>
          <w:sz w:val="24"/>
          <w:lang w:val="en-US" w:eastAsia="zh-CN"/>
        </w:rPr>
        <w:t>响应</w:t>
      </w:r>
      <w:r>
        <w:rPr>
          <w:rFonts w:hint="eastAsia" w:ascii="宋体" w:hAnsi="宋体" w:cs="仿宋"/>
          <w:sz w:val="24"/>
        </w:rPr>
        <w:t>文件中的商业和技术等秘密保密，违者应对由此造成的后果承担法律责任。</w:t>
      </w:r>
    </w:p>
    <w:p w14:paraId="0758DF9D">
      <w:pPr>
        <w:pStyle w:val="18"/>
      </w:pPr>
      <w:bookmarkStart w:id="28" w:name="_Toc506105825"/>
      <w:bookmarkStart w:id="29" w:name="_Toc507936020"/>
      <w:r>
        <w:rPr>
          <w:rFonts w:hint="eastAsia"/>
        </w:rPr>
        <w:t>1.7 语言文字</w:t>
      </w:r>
      <w:bookmarkEnd w:id="28"/>
      <w:bookmarkEnd w:id="29"/>
    </w:p>
    <w:p w14:paraId="7FABB7C7">
      <w:pPr>
        <w:spacing w:line="360" w:lineRule="auto"/>
        <w:ind w:firstLine="480" w:firstLineChars="200"/>
        <w:rPr>
          <w:rFonts w:ascii="宋体" w:hAnsi="宋体" w:cs="仿宋"/>
          <w:sz w:val="24"/>
        </w:rPr>
      </w:pPr>
      <w:r>
        <w:rPr>
          <w:rFonts w:hint="eastAsia" w:ascii="宋体" w:hAnsi="宋体" w:cs="仿宋"/>
          <w:sz w:val="24"/>
        </w:rPr>
        <w:t>除专用术语外，与</w:t>
      </w:r>
      <w:r>
        <w:rPr>
          <w:rFonts w:hint="eastAsia" w:cs="仿宋"/>
          <w:sz w:val="24"/>
          <w:lang w:val="en-US" w:eastAsia="zh-CN"/>
        </w:rPr>
        <w:t>谈判</w:t>
      </w:r>
      <w:r>
        <w:rPr>
          <w:rFonts w:hint="eastAsia" w:ascii="宋体" w:hAnsi="宋体" w:cs="仿宋"/>
          <w:sz w:val="24"/>
        </w:rPr>
        <w:t>有关的语言均使用中文</w:t>
      </w:r>
      <w:r>
        <w:rPr>
          <w:rFonts w:hint="eastAsia" w:cs="仿宋"/>
          <w:sz w:val="24"/>
          <w:lang w:eastAsia="zh-CN"/>
        </w:rPr>
        <w:t>，</w:t>
      </w:r>
      <w:r>
        <w:rPr>
          <w:rFonts w:hint="eastAsia" w:ascii="宋体" w:hAnsi="宋体" w:cs="仿宋"/>
          <w:sz w:val="24"/>
        </w:rPr>
        <w:t>必要时专用术语应附有中文注释。</w:t>
      </w:r>
    </w:p>
    <w:p w14:paraId="7E0449D9">
      <w:pPr>
        <w:pStyle w:val="18"/>
      </w:pPr>
      <w:bookmarkStart w:id="30" w:name="_Toc506105826"/>
      <w:bookmarkStart w:id="31" w:name="_Toc507936021"/>
      <w:r>
        <w:rPr>
          <w:rFonts w:hint="eastAsia"/>
        </w:rPr>
        <w:t>1.8 计量单位</w:t>
      </w:r>
      <w:bookmarkEnd w:id="30"/>
      <w:bookmarkEnd w:id="31"/>
    </w:p>
    <w:p w14:paraId="54B101D1">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0873919B">
      <w:pPr>
        <w:pStyle w:val="18"/>
      </w:pPr>
      <w:bookmarkStart w:id="32" w:name="_Toc506105827"/>
      <w:bookmarkStart w:id="33" w:name="_Toc507936022"/>
      <w:r>
        <w:rPr>
          <w:rFonts w:hint="eastAsia"/>
        </w:rPr>
        <w:t>1.9 踏勘现场</w:t>
      </w:r>
      <w:bookmarkEnd w:id="32"/>
      <w:bookmarkEnd w:id="33"/>
    </w:p>
    <w:p w14:paraId="2EC97F16">
      <w:pPr>
        <w:spacing w:line="360" w:lineRule="auto"/>
        <w:ind w:firstLine="480" w:firstLineChars="200"/>
        <w:rPr>
          <w:rStyle w:val="20"/>
        </w:rPr>
      </w:pPr>
      <w:r>
        <w:rPr>
          <w:rFonts w:hint="eastAsia" w:ascii="宋体" w:hAnsi="宋体" w:cs="仿宋"/>
          <w:sz w:val="24"/>
        </w:rPr>
        <w:t>1.9.1详见</w:t>
      </w:r>
      <w:r>
        <w:rPr>
          <w:rFonts w:hint="eastAsia" w:cs="仿宋"/>
          <w:sz w:val="24"/>
          <w:lang w:val="en-US" w:eastAsia="zh-CN"/>
        </w:rPr>
        <w:t>谈判</w:t>
      </w:r>
      <w:r>
        <w:rPr>
          <w:rFonts w:hint="eastAsia" w:ascii="宋体" w:hAnsi="宋体" w:cs="仿宋"/>
          <w:sz w:val="24"/>
        </w:rPr>
        <w:t>须知前附表</w:t>
      </w:r>
    </w:p>
    <w:p w14:paraId="0C4B50F7">
      <w:pPr>
        <w:pStyle w:val="18"/>
      </w:pPr>
      <w:bookmarkStart w:id="34" w:name="_Toc506105828"/>
      <w:bookmarkStart w:id="35" w:name="_Toc507936023"/>
      <w:r>
        <w:rPr>
          <w:rFonts w:hint="eastAsia"/>
        </w:rPr>
        <w:t xml:space="preserve">1.10 </w:t>
      </w:r>
      <w:r>
        <w:rPr>
          <w:rFonts w:hint="eastAsia"/>
          <w:lang w:val="en-US" w:eastAsia="zh-CN"/>
        </w:rPr>
        <w:t>谈判</w:t>
      </w:r>
      <w:r>
        <w:rPr>
          <w:rFonts w:hint="eastAsia"/>
        </w:rPr>
        <w:t>预备会</w:t>
      </w:r>
      <w:bookmarkEnd w:id="34"/>
      <w:bookmarkEnd w:id="35"/>
    </w:p>
    <w:p w14:paraId="3349FE0A">
      <w:pPr>
        <w:spacing w:line="360" w:lineRule="auto"/>
        <w:ind w:firstLine="480" w:firstLineChars="200"/>
        <w:rPr>
          <w:rFonts w:hint="eastAsia" w:ascii="宋体" w:hAnsi="宋体" w:cs="仿宋"/>
          <w:sz w:val="24"/>
        </w:rPr>
      </w:pPr>
      <w:r>
        <w:rPr>
          <w:rFonts w:hint="eastAsia" w:ascii="宋体" w:hAnsi="宋体" w:cs="仿宋"/>
          <w:sz w:val="24"/>
        </w:rPr>
        <w:t>1.10.1</w:t>
      </w:r>
      <w:r>
        <w:rPr>
          <w:rFonts w:hint="eastAsia" w:cs="仿宋"/>
          <w:sz w:val="24"/>
          <w:lang w:val="en-US" w:eastAsia="zh-CN"/>
        </w:rPr>
        <w:t>采购</w:t>
      </w:r>
      <w:r>
        <w:rPr>
          <w:rFonts w:hint="eastAsia" w:ascii="宋体" w:hAnsi="宋体" w:cs="仿宋"/>
          <w:sz w:val="24"/>
        </w:rPr>
        <w:t>人不召开</w:t>
      </w:r>
      <w:r>
        <w:rPr>
          <w:rFonts w:hint="eastAsia" w:cs="仿宋"/>
          <w:sz w:val="24"/>
          <w:lang w:val="en-US" w:eastAsia="zh-CN"/>
        </w:rPr>
        <w:t>谈判</w:t>
      </w:r>
      <w:r>
        <w:rPr>
          <w:rFonts w:hint="eastAsia" w:ascii="宋体" w:hAnsi="宋体" w:cs="仿宋"/>
          <w:sz w:val="24"/>
        </w:rPr>
        <w:t>预备会。</w:t>
      </w:r>
    </w:p>
    <w:p w14:paraId="7A23E56F">
      <w:pPr>
        <w:pStyle w:val="13"/>
        <w:rPr>
          <w:rStyle w:val="20"/>
          <w:b w:val="0"/>
          <w:bCs w:val="0"/>
        </w:rPr>
      </w:pPr>
      <w:bookmarkStart w:id="36" w:name="_Toc507936024"/>
      <w:r>
        <w:rPr>
          <w:rStyle w:val="20"/>
          <w:rFonts w:hint="eastAsia"/>
          <w:b w:val="0"/>
          <w:bCs w:val="0"/>
        </w:rPr>
        <w:t>2.</w:t>
      </w:r>
      <w:r>
        <w:rPr>
          <w:rStyle w:val="20"/>
          <w:rFonts w:hint="eastAsia" w:eastAsia="宋体"/>
          <w:b w:val="0"/>
          <w:bCs w:val="0"/>
          <w:lang w:val="en-US" w:eastAsia="zh-CN"/>
        </w:rPr>
        <w:t>谈判</w:t>
      </w:r>
      <w:r>
        <w:rPr>
          <w:rStyle w:val="20"/>
          <w:rFonts w:hint="eastAsia"/>
          <w:b w:val="0"/>
          <w:bCs w:val="0"/>
        </w:rPr>
        <w:t>文件</w:t>
      </w:r>
      <w:bookmarkEnd w:id="36"/>
    </w:p>
    <w:p w14:paraId="7B82BA49">
      <w:pPr>
        <w:pStyle w:val="18"/>
        <w:rPr>
          <w:rFonts w:hint="default" w:eastAsia="宋体"/>
          <w:lang w:val="en-US" w:eastAsia="zh-CN"/>
        </w:rPr>
      </w:pPr>
      <w:bookmarkStart w:id="37" w:name="_Toc506105830"/>
      <w:bookmarkStart w:id="38" w:name="_Toc507936025"/>
      <w:r>
        <w:rPr>
          <w:rFonts w:hint="eastAsia"/>
        </w:rPr>
        <w:t xml:space="preserve">2.1 </w:t>
      </w:r>
      <w:r>
        <w:rPr>
          <w:rFonts w:hint="eastAsia"/>
          <w:lang w:val="en-US" w:eastAsia="zh-CN"/>
        </w:rPr>
        <w:t>谈判</w:t>
      </w:r>
      <w:r>
        <w:rPr>
          <w:rFonts w:hint="eastAsia"/>
        </w:rPr>
        <w:t>文件的内容</w:t>
      </w:r>
      <w:bookmarkEnd w:id="37"/>
      <w:bookmarkEnd w:id="38"/>
      <w:r>
        <w:rPr>
          <w:rFonts w:hint="eastAsia"/>
          <w:lang w:val="en-US" w:eastAsia="zh-CN"/>
        </w:rPr>
        <w:t>和发布</w:t>
      </w:r>
    </w:p>
    <w:p w14:paraId="66919F15">
      <w:pPr>
        <w:spacing w:line="360" w:lineRule="auto"/>
        <w:ind w:firstLine="480" w:firstLineChars="200"/>
        <w:rPr>
          <w:rFonts w:ascii="宋体" w:hAnsi="宋体" w:cs="仿宋"/>
          <w:sz w:val="24"/>
        </w:rPr>
      </w:pPr>
      <w:r>
        <w:rPr>
          <w:rFonts w:hint="eastAsia" w:ascii="宋体" w:hAnsi="宋体" w:cs="仿宋"/>
          <w:sz w:val="24"/>
        </w:rPr>
        <w:t>2.1.1</w:t>
      </w:r>
      <w:r>
        <w:rPr>
          <w:rFonts w:hint="eastAsia" w:cs="仿宋"/>
          <w:sz w:val="24"/>
          <w:lang w:val="en-US" w:eastAsia="zh-CN"/>
        </w:rPr>
        <w:t>谈判</w:t>
      </w:r>
      <w:r>
        <w:rPr>
          <w:rFonts w:hint="eastAsia" w:ascii="宋体" w:hAnsi="宋体" w:cs="仿宋"/>
          <w:sz w:val="24"/>
        </w:rPr>
        <w:t>文件包括：</w:t>
      </w:r>
    </w:p>
    <w:p w14:paraId="1E32223C">
      <w:pPr>
        <w:spacing w:line="360" w:lineRule="auto"/>
        <w:ind w:firstLine="480" w:firstLineChars="200"/>
        <w:rPr>
          <w:rFonts w:ascii="宋体" w:hAnsi="宋体" w:cs="仿宋"/>
          <w:sz w:val="24"/>
        </w:rPr>
      </w:pPr>
      <w:r>
        <w:rPr>
          <w:rFonts w:hint="eastAsia" w:ascii="宋体" w:hAnsi="宋体" w:cs="仿宋"/>
          <w:sz w:val="24"/>
        </w:rPr>
        <w:t>（1）</w:t>
      </w:r>
      <w:r>
        <w:rPr>
          <w:rFonts w:hint="eastAsia" w:cs="仿宋"/>
          <w:sz w:val="24"/>
          <w:lang w:val="en-US" w:eastAsia="zh-CN"/>
        </w:rPr>
        <w:t>谈判公告</w:t>
      </w:r>
    </w:p>
    <w:p w14:paraId="0F42C7CE">
      <w:pPr>
        <w:spacing w:line="360" w:lineRule="auto"/>
        <w:ind w:firstLine="480" w:firstLineChars="200"/>
        <w:rPr>
          <w:rFonts w:ascii="宋体" w:hAnsi="宋体" w:cs="仿宋"/>
          <w:sz w:val="24"/>
        </w:rPr>
      </w:pPr>
      <w:r>
        <w:rPr>
          <w:rFonts w:hint="eastAsia" w:ascii="宋体" w:hAnsi="宋体" w:cs="仿宋"/>
          <w:sz w:val="24"/>
        </w:rPr>
        <w:t>（2）</w:t>
      </w:r>
      <w:r>
        <w:rPr>
          <w:rFonts w:hint="eastAsia" w:cs="仿宋"/>
          <w:sz w:val="24"/>
          <w:lang w:val="en-US" w:eastAsia="zh-CN"/>
        </w:rPr>
        <w:t>谈判</w:t>
      </w:r>
      <w:r>
        <w:rPr>
          <w:rFonts w:hint="eastAsia" w:ascii="宋体" w:hAnsi="宋体" w:cs="仿宋"/>
          <w:sz w:val="24"/>
        </w:rPr>
        <w:t>须知</w:t>
      </w:r>
    </w:p>
    <w:p w14:paraId="0F8A0FA0">
      <w:pPr>
        <w:spacing w:line="360" w:lineRule="auto"/>
        <w:ind w:firstLine="480" w:firstLineChars="200"/>
        <w:rPr>
          <w:rFonts w:ascii="宋体" w:hAnsi="宋体" w:cs="仿宋"/>
          <w:sz w:val="24"/>
        </w:rPr>
      </w:pPr>
      <w:r>
        <w:rPr>
          <w:rFonts w:hint="eastAsia" w:ascii="宋体" w:hAnsi="宋体" w:cs="仿宋"/>
          <w:sz w:val="24"/>
        </w:rPr>
        <w:t>（3）评</w:t>
      </w:r>
      <w:r>
        <w:rPr>
          <w:rFonts w:hint="eastAsia" w:cs="仿宋"/>
          <w:sz w:val="24"/>
          <w:lang w:val="en-US" w:eastAsia="zh-CN"/>
        </w:rPr>
        <w:t>审</w:t>
      </w:r>
      <w:r>
        <w:rPr>
          <w:rFonts w:hint="eastAsia" w:ascii="宋体" w:hAnsi="宋体" w:cs="仿宋"/>
          <w:sz w:val="24"/>
        </w:rPr>
        <w:t>办法</w:t>
      </w:r>
    </w:p>
    <w:p w14:paraId="1E82CB80">
      <w:pPr>
        <w:spacing w:line="360" w:lineRule="auto"/>
        <w:ind w:firstLine="480" w:firstLineChars="200"/>
        <w:rPr>
          <w:rFonts w:ascii="宋体" w:hAnsi="宋体" w:cs="仿宋"/>
          <w:sz w:val="24"/>
        </w:rPr>
      </w:pPr>
      <w:r>
        <w:rPr>
          <w:rFonts w:hint="eastAsia" w:ascii="宋体" w:hAnsi="宋体" w:cs="仿宋"/>
          <w:sz w:val="24"/>
        </w:rPr>
        <w:t>（4）合同及附件</w:t>
      </w:r>
    </w:p>
    <w:p w14:paraId="554E1465">
      <w:pPr>
        <w:spacing w:line="360" w:lineRule="auto"/>
        <w:ind w:firstLine="480" w:firstLineChars="200"/>
        <w:rPr>
          <w:rFonts w:ascii="宋体" w:hAnsi="宋体" w:cs="仿宋"/>
          <w:sz w:val="24"/>
        </w:rPr>
      </w:pPr>
      <w:r>
        <w:rPr>
          <w:rFonts w:hint="eastAsia" w:ascii="宋体" w:hAnsi="宋体" w:cs="仿宋"/>
          <w:sz w:val="24"/>
        </w:rPr>
        <w:t>（5）</w:t>
      </w:r>
      <w:r>
        <w:rPr>
          <w:rFonts w:hint="eastAsia" w:cs="仿宋"/>
          <w:sz w:val="24"/>
          <w:lang w:val="en-US" w:eastAsia="zh-CN"/>
        </w:rPr>
        <w:t>响应</w:t>
      </w:r>
      <w:r>
        <w:rPr>
          <w:rFonts w:hint="eastAsia" w:ascii="宋体" w:hAnsi="宋体" w:cs="仿宋"/>
          <w:sz w:val="24"/>
        </w:rPr>
        <w:t>文件格式及内容</w:t>
      </w:r>
    </w:p>
    <w:p w14:paraId="1F66116F">
      <w:pPr>
        <w:spacing w:line="360" w:lineRule="auto"/>
        <w:ind w:firstLine="480" w:firstLineChars="200"/>
        <w:rPr>
          <w:rFonts w:ascii="宋体" w:hAnsi="宋体" w:cs="仿宋"/>
          <w:sz w:val="24"/>
        </w:rPr>
      </w:pPr>
      <w:r>
        <w:rPr>
          <w:rFonts w:hint="eastAsia" w:ascii="宋体" w:hAnsi="宋体" w:cs="仿宋"/>
          <w:sz w:val="24"/>
        </w:rPr>
        <w:t>根据本章第1.10款、第2.2款和第2.3款对</w:t>
      </w:r>
      <w:r>
        <w:rPr>
          <w:rFonts w:hint="eastAsia" w:cs="仿宋"/>
          <w:sz w:val="24"/>
          <w:lang w:val="en-US" w:eastAsia="zh-CN"/>
        </w:rPr>
        <w:t>谈判</w:t>
      </w:r>
      <w:r>
        <w:rPr>
          <w:rFonts w:hint="eastAsia" w:ascii="宋体" w:hAnsi="宋体" w:cs="仿宋"/>
          <w:sz w:val="24"/>
        </w:rPr>
        <w:t>文件所作的澄清、修改，构成</w:t>
      </w:r>
      <w:r>
        <w:rPr>
          <w:rFonts w:hint="eastAsia" w:cs="仿宋"/>
          <w:sz w:val="24"/>
          <w:lang w:val="en-US" w:eastAsia="zh-CN"/>
        </w:rPr>
        <w:t>谈判</w:t>
      </w:r>
      <w:r>
        <w:rPr>
          <w:rFonts w:hint="eastAsia" w:ascii="宋体" w:hAnsi="宋体" w:cs="仿宋"/>
          <w:sz w:val="24"/>
        </w:rPr>
        <w:t>文件的组成部分。</w:t>
      </w:r>
    </w:p>
    <w:p w14:paraId="4BE06730">
      <w:pPr>
        <w:spacing w:line="360" w:lineRule="auto"/>
        <w:ind w:firstLine="480" w:firstLineChars="200"/>
        <w:rPr>
          <w:rFonts w:hint="eastAsia" w:ascii="宋体" w:hAnsi="宋体" w:cs="仿宋"/>
          <w:sz w:val="24"/>
        </w:rPr>
      </w:pPr>
      <w:r>
        <w:rPr>
          <w:rFonts w:hint="eastAsia" w:ascii="宋体" w:hAnsi="宋体" w:cs="仿宋"/>
          <w:sz w:val="24"/>
        </w:rPr>
        <w:t>2.1.2若</w:t>
      </w:r>
      <w:r>
        <w:rPr>
          <w:rFonts w:hint="eastAsia" w:cs="仿宋"/>
          <w:sz w:val="24"/>
          <w:lang w:val="en-US" w:eastAsia="zh-CN"/>
        </w:rPr>
        <w:t>谈判</w:t>
      </w:r>
      <w:r>
        <w:rPr>
          <w:rFonts w:hint="eastAsia" w:ascii="宋体" w:hAnsi="宋体" w:cs="仿宋"/>
          <w:sz w:val="24"/>
        </w:rPr>
        <w:t>文件中不同章节对同一内容叙述有差异的，性能、参数以技术要求为准；</w:t>
      </w:r>
      <w:r>
        <w:rPr>
          <w:rFonts w:hint="eastAsia" w:cs="仿宋"/>
          <w:sz w:val="24"/>
          <w:lang w:val="en-US" w:eastAsia="zh-CN"/>
        </w:rPr>
        <w:t>供应商</w:t>
      </w:r>
      <w:r>
        <w:rPr>
          <w:rFonts w:hint="eastAsia" w:ascii="宋体" w:hAnsi="宋体" w:cs="仿宋"/>
          <w:sz w:val="24"/>
        </w:rPr>
        <w:t>资格要求、交货期、交货地点、</w:t>
      </w:r>
      <w:r>
        <w:rPr>
          <w:rFonts w:hint="eastAsia" w:cs="仿宋"/>
          <w:sz w:val="24"/>
          <w:lang w:val="en-US" w:eastAsia="zh-CN"/>
        </w:rPr>
        <w:t>质保期</w:t>
      </w:r>
      <w:r>
        <w:rPr>
          <w:rFonts w:hint="eastAsia" w:ascii="宋体" w:hAnsi="宋体" w:cs="仿宋"/>
          <w:sz w:val="24"/>
        </w:rPr>
        <w:t>以</w:t>
      </w:r>
      <w:r>
        <w:rPr>
          <w:rFonts w:hint="eastAsia" w:cs="宋体"/>
          <w:sz w:val="24"/>
          <w:lang w:val="en-US" w:eastAsia="zh-CN"/>
        </w:rPr>
        <w:t>谈判</w:t>
      </w:r>
      <w:r>
        <w:rPr>
          <w:rFonts w:hint="eastAsia" w:cs="宋体"/>
          <w:sz w:val="24"/>
        </w:rPr>
        <w:t>须知前附表</w:t>
      </w:r>
      <w:r>
        <w:rPr>
          <w:rFonts w:hint="eastAsia" w:ascii="宋体" w:hAnsi="宋体" w:cs="仿宋"/>
          <w:sz w:val="24"/>
        </w:rPr>
        <w:t>为准。</w:t>
      </w:r>
    </w:p>
    <w:p w14:paraId="1DC63A2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
          <w:sz w:val="24"/>
          <w:szCs w:val="24"/>
          <w:lang w:val="en-US" w:eastAsia="zh-CN" w:bidi="ar-SA"/>
        </w:rPr>
      </w:pPr>
      <w:r>
        <w:rPr>
          <w:rFonts w:hint="eastAsia" w:ascii="宋体" w:hAnsi="宋体" w:eastAsia="宋体" w:cs="仿宋"/>
          <w:sz w:val="24"/>
          <w:szCs w:val="24"/>
          <w:lang w:val="en-US" w:eastAsia="zh-CN" w:bidi="ar-SA"/>
        </w:rPr>
        <w:t>2.1.3本谈判文件在济钢集团有限公司阳光购销平台（网址：</w:t>
      </w:r>
      <w:r>
        <w:rPr>
          <w:rFonts w:hint="eastAsia" w:ascii="宋体" w:hAnsi="宋体" w:eastAsia="宋体" w:cs="仿宋"/>
          <w:sz w:val="24"/>
          <w:szCs w:val="24"/>
          <w:lang w:val="en-US" w:eastAsia="zh-CN" w:bidi="ar-SA"/>
        </w:rPr>
        <w:fldChar w:fldCharType="begin"/>
      </w:r>
      <w:r>
        <w:rPr>
          <w:rFonts w:hint="eastAsia" w:ascii="宋体" w:hAnsi="宋体" w:eastAsia="宋体" w:cs="仿宋"/>
          <w:sz w:val="24"/>
          <w:szCs w:val="24"/>
          <w:lang w:val="en-US" w:eastAsia="zh-CN" w:bidi="ar-SA"/>
        </w:rPr>
        <w:instrText xml:space="preserve"> HYPERLINK "http://bidding.jigang.com.cn" </w:instrText>
      </w:r>
      <w:r>
        <w:rPr>
          <w:rFonts w:hint="eastAsia" w:ascii="宋体" w:hAnsi="宋体" w:eastAsia="宋体" w:cs="仿宋"/>
          <w:sz w:val="24"/>
          <w:szCs w:val="24"/>
          <w:lang w:val="en-US" w:eastAsia="zh-CN" w:bidi="ar-SA"/>
        </w:rPr>
        <w:fldChar w:fldCharType="separate"/>
      </w:r>
      <w:r>
        <w:rPr>
          <w:rFonts w:hint="eastAsia" w:ascii="宋体" w:hAnsi="宋体" w:eastAsia="宋体" w:cs="仿宋"/>
          <w:sz w:val="24"/>
          <w:szCs w:val="24"/>
          <w:lang w:val="en-US" w:eastAsia="zh-CN" w:bidi="ar-SA"/>
        </w:rPr>
        <w:t>http://bidding.jigang.com.cn</w:t>
      </w:r>
      <w:r>
        <w:rPr>
          <w:rFonts w:hint="eastAsia" w:ascii="宋体" w:hAnsi="宋体" w:eastAsia="宋体" w:cs="仿宋"/>
          <w:sz w:val="24"/>
          <w:szCs w:val="24"/>
          <w:lang w:val="en-US" w:eastAsia="zh-CN" w:bidi="ar-SA"/>
        </w:rPr>
        <w:fldChar w:fldCharType="end"/>
      </w:r>
      <w:r>
        <w:rPr>
          <w:rFonts w:hint="eastAsia" w:ascii="宋体" w:hAnsi="宋体" w:eastAsia="宋体" w:cs="仿宋"/>
          <w:sz w:val="24"/>
          <w:szCs w:val="24"/>
          <w:lang w:val="en-US" w:eastAsia="zh-CN" w:bidi="ar-SA"/>
        </w:rPr>
        <w:t>/） 上发布。除上述媒介以外的媒介转载或发布与本次谈判相关信息的，采购人不承担任何责任并保留追究相关方责任的权利。</w:t>
      </w:r>
    </w:p>
    <w:p w14:paraId="31D54E75">
      <w:pPr>
        <w:pStyle w:val="18"/>
      </w:pPr>
      <w:bookmarkStart w:id="39" w:name="_Toc507936026"/>
      <w:bookmarkStart w:id="40" w:name="_Toc506105831"/>
      <w:r>
        <w:rPr>
          <w:rFonts w:hint="eastAsia"/>
        </w:rPr>
        <w:t xml:space="preserve">2.2 </w:t>
      </w:r>
      <w:r>
        <w:rPr>
          <w:rFonts w:hint="eastAsia"/>
          <w:lang w:val="en-US" w:eastAsia="zh-CN"/>
        </w:rPr>
        <w:t>谈判</w:t>
      </w:r>
      <w:r>
        <w:rPr>
          <w:rFonts w:hint="eastAsia"/>
        </w:rPr>
        <w:t>文件的澄清</w:t>
      </w:r>
      <w:bookmarkEnd w:id="39"/>
      <w:bookmarkEnd w:id="40"/>
    </w:p>
    <w:p w14:paraId="62B10146">
      <w:pPr>
        <w:spacing w:line="360" w:lineRule="auto"/>
        <w:ind w:firstLine="480" w:firstLineChars="200"/>
        <w:rPr>
          <w:rFonts w:hint="eastAsia" w:ascii="宋体" w:hAnsi="宋体"/>
          <w:sz w:val="24"/>
        </w:rPr>
      </w:pPr>
      <w:bookmarkStart w:id="41" w:name="_Toc506105832"/>
      <w:bookmarkStart w:id="42" w:name="_Toc507936027"/>
      <w:r>
        <w:rPr>
          <w:rFonts w:hint="eastAsia" w:ascii="宋体" w:hAnsi="宋体"/>
          <w:sz w:val="24"/>
        </w:rPr>
        <w:t>2.2.1 供应商应仔细阅读和检查竞争性谈判文件的全部内容。如发现缺页或附件不全，应及时向采购人或代理机构提出，以便补齐。如有疑问</w:t>
      </w:r>
      <w:r>
        <w:rPr>
          <w:rFonts w:hint="eastAsia"/>
          <w:sz w:val="24"/>
          <w:lang w:eastAsia="zh-CN"/>
        </w:rPr>
        <w:t>、</w:t>
      </w:r>
      <w:r>
        <w:rPr>
          <w:rFonts w:hint="eastAsia"/>
          <w:sz w:val="24"/>
          <w:lang w:val="en-US" w:eastAsia="zh-CN"/>
        </w:rPr>
        <w:t>异议</w:t>
      </w:r>
      <w:r>
        <w:rPr>
          <w:rFonts w:hint="eastAsia" w:ascii="宋体" w:hAnsi="宋体"/>
          <w:sz w:val="24"/>
        </w:rPr>
        <w:t>，应在</w:t>
      </w:r>
      <w:r>
        <w:rPr>
          <w:rFonts w:hint="eastAsia" w:cs="仿宋"/>
          <w:sz w:val="24"/>
          <w:lang w:val="en-US" w:eastAsia="zh-CN"/>
        </w:rPr>
        <w:t>谈判截止</w:t>
      </w:r>
      <w:r>
        <w:rPr>
          <w:rFonts w:hint="eastAsia" w:ascii="宋体" w:hAnsi="宋体" w:cs="仿宋"/>
          <w:sz w:val="24"/>
        </w:rPr>
        <w:t>时间</w:t>
      </w:r>
      <w:r>
        <w:rPr>
          <w:rFonts w:hint="eastAsia" w:cs="仿宋"/>
          <w:color w:val="auto"/>
          <w:sz w:val="24"/>
          <w:lang w:val="en-US" w:eastAsia="zh-CN"/>
        </w:rPr>
        <w:t>2</w:t>
      </w:r>
      <w:r>
        <w:rPr>
          <w:rFonts w:hint="eastAsia" w:ascii="宋体" w:hAnsi="宋体" w:cs="仿宋"/>
          <w:sz w:val="24"/>
        </w:rPr>
        <w:t>天前</w:t>
      </w:r>
      <w:r>
        <w:rPr>
          <w:rFonts w:hint="eastAsia" w:ascii="宋体" w:hAnsi="宋体"/>
          <w:sz w:val="24"/>
        </w:rPr>
        <w:t>以书面形式要求采购人对竞争性谈判文件予以澄清。</w:t>
      </w:r>
    </w:p>
    <w:p w14:paraId="61279557">
      <w:pPr>
        <w:spacing w:line="360" w:lineRule="auto"/>
        <w:ind w:firstLine="480" w:firstLineChars="200"/>
        <w:rPr>
          <w:rFonts w:hint="eastAsia" w:ascii="宋体" w:hAnsi="宋体"/>
          <w:sz w:val="24"/>
        </w:rPr>
      </w:pPr>
      <w:r>
        <w:rPr>
          <w:rFonts w:hint="eastAsia" w:ascii="宋体" w:hAnsi="宋体"/>
          <w:sz w:val="24"/>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27B5A2AC">
      <w:pPr>
        <w:spacing w:line="360" w:lineRule="auto"/>
        <w:ind w:firstLine="480" w:firstLineChars="200"/>
        <w:rPr>
          <w:rFonts w:hint="eastAsia" w:ascii="宋体" w:hAnsi="宋体"/>
          <w:sz w:val="24"/>
        </w:rPr>
      </w:pPr>
      <w:r>
        <w:rPr>
          <w:rFonts w:hint="eastAsia" w:ascii="宋体" w:hAnsi="宋体"/>
          <w:sz w:val="24"/>
        </w:rPr>
        <w:t>2.2.3 供应商在收到澄清后，应在供应商须知前附表规定的时间内以书面形式通知采购人/代理机构，确认已收到该澄清。</w:t>
      </w:r>
    </w:p>
    <w:p w14:paraId="0A6D798D">
      <w:pPr>
        <w:pStyle w:val="18"/>
      </w:pPr>
      <w:r>
        <w:rPr>
          <w:rFonts w:hint="eastAsia"/>
        </w:rPr>
        <w:t xml:space="preserve">2.3 </w:t>
      </w:r>
      <w:bookmarkEnd w:id="41"/>
      <w:bookmarkEnd w:id="42"/>
      <w:r>
        <w:rPr>
          <w:rFonts w:hint="eastAsia" w:ascii="Arial" w:hAnsi="Arial" w:cs="Times New Roman"/>
          <w:b w:val="0"/>
          <w:bCs w:val="0"/>
          <w:lang w:val="en-US" w:eastAsia="zh-CN"/>
        </w:rPr>
        <w:t>竞争性谈判文件的修改</w:t>
      </w:r>
    </w:p>
    <w:p w14:paraId="0AF4FADA">
      <w:pPr>
        <w:spacing w:line="360" w:lineRule="auto"/>
        <w:ind w:firstLine="480" w:firstLineChars="200"/>
        <w:rPr>
          <w:rFonts w:hint="eastAsia" w:ascii="宋体" w:hAnsi="宋体"/>
          <w:sz w:val="24"/>
        </w:rPr>
      </w:pPr>
      <w:r>
        <w:rPr>
          <w:rFonts w:hint="eastAsia" w:ascii="宋体" w:hAnsi="宋体"/>
          <w:sz w:val="24"/>
        </w:rPr>
        <w:t>2.3.1 在报价截止时间前，采购人可以书面形式修改竞争性谈判文件，并通知所有已购买竞争性谈判文件的供应商。</w:t>
      </w:r>
    </w:p>
    <w:p w14:paraId="79EDFD9A">
      <w:pPr>
        <w:spacing w:line="360" w:lineRule="auto"/>
        <w:ind w:firstLine="480" w:firstLineChars="200"/>
        <w:jc w:val="left"/>
        <w:rPr>
          <w:rFonts w:ascii="宋体" w:hAnsi="宋体" w:cs="仿宋"/>
          <w:sz w:val="24"/>
        </w:rPr>
      </w:pPr>
      <w:r>
        <w:rPr>
          <w:rFonts w:hint="eastAsia" w:ascii="宋体" w:hAnsi="宋体"/>
          <w:sz w:val="24"/>
        </w:rPr>
        <w:t>2.3.2 供应商收到修改内容后，应在供应商须知前附表规定的时间内以书面形式通知采购人/代理机构，确认已收到该修改。</w:t>
      </w:r>
    </w:p>
    <w:p w14:paraId="678DB41F">
      <w:pPr>
        <w:spacing w:line="360" w:lineRule="auto"/>
        <w:jc w:val="center"/>
        <w:rPr>
          <w:rStyle w:val="20"/>
          <w:rFonts w:hint="eastAsia" w:ascii="宋体" w:hAnsi="宋体"/>
          <w:b/>
        </w:rPr>
      </w:pPr>
      <w:r>
        <w:rPr>
          <w:rStyle w:val="20"/>
          <w:rFonts w:hint="eastAsia" w:ascii="宋体" w:hAnsi="宋体"/>
          <w:b/>
        </w:rPr>
        <w:t>3、</w:t>
      </w:r>
      <w:r>
        <w:rPr>
          <w:rStyle w:val="20"/>
          <w:rFonts w:hint="eastAsia" w:eastAsia="宋体"/>
          <w:b/>
          <w:lang w:val="en-US" w:eastAsia="zh-CN"/>
        </w:rPr>
        <w:t>响应</w:t>
      </w:r>
      <w:r>
        <w:rPr>
          <w:rStyle w:val="20"/>
          <w:rFonts w:hint="eastAsia" w:ascii="宋体" w:hAnsi="宋体"/>
          <w:b/>
        </w:rPr>
        <w:t>文件</w:t>
      </w:r>
    </w:p>
    <w:p w14:paraId="7202DBC5">
      <w:pPr>
        <w:pStyle w:val="18"/>
      </w:pPr>
      <w:bookmarkStart w:id="43" w:name="_Toc507936029"/>
      <w:bookmarkStart w:id="44" w:name="_Toc506105835"/>
      <w:r>
        <w:rPr>
          <w:rFonts w:hint="eastAsia"/>
        </w:rPr>
        <w:t xml:space="preserve">3.1 </w:t>
      </w:r>
      <w:r>
        <w:rPr>
          <w:rFonts w:hint="eastAsia"/>
          <w:lang w:val="en-US" w:eastAsia="zh-CN"/>
        </w:rPr>
        <w:t>响应</w:t>
      </w:r>
      <w:r>
        <w:rPr>
          <w:rFonts w:hint="eastAsia"/>
        </w:rPr>
        <w:t>文件的组成</w:t>
      </w:r>
      <w:bookmarkEnd w:id="43"/>
      <w:bookmarkEnd w:id="44"/>
    </w:p>
    <w:p w14:paraId="0194F99C">
      <w:pPr>
        <w:pStyle w:val="18"/>
        <w:tabs>
          <w:tab w:val="clear" w:pos="851"/>
        </w:tabs>
        <w:ind w:left="491" w:leftChars="0" w:hanging="491" w:firstLineChars="0"/>
        <w:rPr>
          <w:rFonts w:hint="eastAsia" w:ascii="Arial" w:hAnsi="Arial" w:cs="Times New Roman"/>
          <w:b w:val="0"/>
          <w:bCs w:val="0"/>
        </w:rPr>
      </w:pPr>
      <w:r>
        <w:rPr>
          <w:rFonts w:hint="eastAsia" w:ascii="Arial" w:hAnsi="Arial" w:cs="Times New Roman"/>
          <w:b w:val="0"/>
          <w:bCs w:val="0"/>
        </w:rPr>
        <w:t xml:space="preserve">3.1 </w:t>
      </w:r>
      <w:r>
        <w:rPr>
          <w:rFonts w:hint="eastAsia" w:ascii="宋体" w:hAnsi="宋体" w:eastAsia="宋体" w:cs="宋体"/>
          <w:b w:val="0"/>
          <w:bCs w:val="0"/>
          <w:sz w:val="24"/>
          <w:szCs w:val="24"/>
          <w:lang w:val="en-US" w:eastAsia="zh-CN" w:bidi="ar-SA"/>
        </w:rPr>
        <w:t>供应商在谈判过程中作出的符合法律法规和谈判文件规定的澄清确认，构成响应文件的组成部分。</w:t>
      </w:r>
    </w:p>
    <w:p w14:paraId="3D0802EF">
      <w:pPr>
        <w:pStyle w:val="18"/>
      </w:pPr>
      <w:bookmarkStart w:id="45" w:name="_Toc506105836"/>
      <w:bookmarkStart w:id="46" w:name="_Toc507936030"/>
      <w:bookmarkStart w:id="47" w:name="_Toc406766394"/>
      <w:r>
        <w:rPr>
          <w:rFonts w:hint="eastAsia"/>
        </w:rPr>
        <w:t>3.2 报价</w:t>
      </w:r>
      <w:bookmarkEnd w:id="45"/>
      <w:bookmarkEnd w:id="46"/>
      <w:bookmarkEnd w:id="47"/>
    </w:p>
    <w:p w14:paraId="558AA5B7">
      <w:pPr>
        <w:spacing w:line="360" w:lineRule="auto"/>
        <w:ind w:firstLine="480" w:firstLineChars="200"/>
        <w:rPr>
          <w:rFonts w:hint="eastAsia" w:ascii="宋体" w:hAnsi="宋体" w:eastAsia="宋体" w:cs="仿宋"/>
          <w:sz w:val="24"/>
          <w:lang w:val="en-US" w:eastAsia="zh-CN"/>
        </w:rPr>
      </w:pPr>
      <w:r>
        <w:rPr>
          <w:rFonts w:hint="eastAsia" w:ascii="宋体" w:hAnsi="宋体" w:cs="仿宋"/>
          <w:sz w:val="24"/>
        </w:rPr>
        <w:t xml:space="preserve">3.2.1 </w:t>
      </w:r>
      <w:r>
        <w:rPr>
          <w:rFonts w:hint="eastAsia" w:ascii="宋体" w:hAnsi="宋体" w:cs="宋体"/>
          <w:color w:val="auto"/>
          <w:sz w:val="24"/>
        </w:rPr>
        <w:t>报价币种</w:t>
      </w:r>
      <w:r>
        <w:rPr>
          <w:rFonts w:hint="eastAsia" w:cs="宋体"/>
          <w:color w:val="auto"/>
          <w:sz w:val="24"/>
          <w:lang w:eastAsia="zh-CN"/>
        </w:rPr>
        <w:t>：</w:t>
      </w:r>
      <w:r>
        <w:rPr>
          <w:rFonts w:hint="eastAsia" w:ascii="宋体" w:hAnsi="宋体" w:cs="宋体"/>
          <w:color w:val="auto"/>
          <w:sz w:val="24"/>
        </w:rPr>
        <w:t>人民币</w:t>
      </w:r>
      <w:r>
        <w:rPr>
          <w:rFonts w:hint="eastAsia" w:cs="宋体"/>
          <w:color w:val="auto"/>
          <w:sz w:val="24"/>
          <w:lang w:eastAsia="zh-CN"/>
        </w:rPr>
        <w:t>；</w:t>
      </w:r>
      <w:r>
        <w:rPr>
          <w:rFonts w:hint="eastAsia" w:cs="宋体"/>
          <w:sz w:val="24"/>
          <w:lang w:val="en-US" w:eastAsia="zh-CN"/>
        </w:rPr>
        <w:t>报价</w:t>
      </w:r>
      <w:r>
        <w:rPr>
          <w:rFonts w:hint="eastAsia" w:ascii="宋体" w:hAnsi="宋体" w:cs="宋体"/>
          <w:sz w:val="24"/>
        </w:rPr>
        <w:t>为</w:t>
      </w:r>
      <w:r>
        <w:rPr>
          <w:rFonts w:hint="eastAsia" w:cs="宋体"/>
          <w:sz w:val="24"/>
          <w:lang w:val="en-US" w:eastAsia="zh-CN"/>
        </w:rPr>
        <w:t>含</w:t>
      </w:r>
      <w:r>
        <w:rPr>
          <w:rFonts w:hint="eastAsia" w:ascii="宋体" w:hAnsi="宋体" w:cs="宋体"/>
          <w:sz w:val="24"/>
        </w:rPr>
        <w:t>增值税价格</w:t>
      </w:r>
      <w:r>
        <w:rPr>
          <w:rFonts w:hint="eastAsia" w:cs="宋体"/>
          <w:sz w:val="24"/>
          <w:lang w:eastAsia="zh-CN"/>
        </w:rPr>
        <w:t>。</w:t>
      </w:r>
    </w:p>
    <w:p w14:paraId="5ABAB180">
      <w:pPr>
        <w:spacing w:line="360" w:lineRule="auto"/>
        <w:ind w:firstLine="480" w:firstLineChars="200"/>
        <w:rPr>
          <w:rFonts w:ascii="宋体" w:hAnsi="宋体" w:cs="仿宋"/>
          <w:sz w:val="24"/>
        </w:rPr>
      </w:pPr>
      <w:r>
        <w:rPr>
          <w:rFonts w:hint="eastAsia" w:ascii="宋体" w:hAnsi="宋体" w:cs="仿宋"/>
          <w:sz w:val="24"/>
        </w:rPr>
        <w:t xml:space="preserve">3.2.2 </w:t>
      </w:r>
      <w:r>
        <w:rPr>
          <w:rFonts w:hint="eastAsia" w:cs="仿宋"/>
          <w:sz w:val="24"/>
          <w:lang w:val="en-US" w:eastAsia="zh-CN"/>
        </w:rPr>
        <w:t>供应商</w:t>
      </w:r>
      <w:r>
        <w:rPr>
          <w:rFonts w:hint="eastAsia" w:ascii="宋体" w:hAnsi="宋体" w:cs="仿宋"/>
          <w:sz w:val="24"/>
        </w:rPr>
        <w:t>在</w:t>
      </w:r>
      <w:r>
        <w:rPr>
          <w:rFonts w:hint="eastAsia" w:cs="仿宋"/>
          <w:sz w:val="24"/>
          <w:lang w:val="en-US" w:eastAsia="zh-CN"/>
        </w:rPr>
        <w:t>谈判开始</w:t>
      </w:r>
      <w:r>
        <w:rPr>
          <w:rFonts w:hint="eastAsia" w:ascii="宋体" w:hAnsi="宋体" w:cs="仿宋"/>
          <w:sz w:val="24"/>
        </w:rPr>
        <w:t>时间前修改</w:t>
      </w:r>
      <w:r>
        <w:rPr>
          <w:rFonts w:hint="eastAsia" w:cs="仿宋"/>
          <w:sz w:val="24"/>
          <w:lang w:val="en-US" w:eastAsia="zh-CN"/>
        </w:rPr>
        <w:t>报价</w:t>
      </w:r>
      <w:r>
        <w:rPr>
          <w:rFonts w:hint="eastAsia" w:ascii="宋体" w:hAnsi="宋体" w:cs="仿宋"/>
          <w:sz w:val="24"/>
        </w:rPr>
        <w:t>函中的总报价，应同时修改“报价组成表”中的相应价格。此修改须符合本章第4.3款的有关规定。　</w:t>
      </w:r>
    </w:p>
    <w:p w14:paraId="2D1830FD">
      <w:pPr>
        <w:pStyle w:val="18"/>
      </w:pPr>
      <w:bookmarkStart w:id="48" w:name="_Toc506105837"/>
      <w:bookmarkStart w:id="49" w:name="_Toc406766395"/>
      <w:bookmarkStart w:id="50" w:name="_Toc507936031"/>
      <w:r>
        <w:rPr>
          <w:rFonts w:hint="eastAsia"/>
        </w:rPr>
        <w:t xml:space="preserve">3.3 </w:t>
      </w:r>
      <w:r>
        <w:rPr>
          <w:rFonts w:hint="eastAsia"/>
          <w:lang w:val="en-US" w:eastAsia="zh-CN"/>
        </w:rPr>
        <w:t>谈判</w:t>
      </w:r>
      <w:r>
        <w:rPr>
          <w:rFonts w:hint="eastAsia"/>
        </w:rPr>
        <w:t>有效期</w:t>
      </w:r>
      <w:bookmarkEnd w:id="48"/>
      <w:bookmarkEnd w:id="49"/>
      <w:bookmarkEnd w:id="50"/>
    </w:p>
    <w:p w14:paraId="31CF9279">
      <w:pPr>
        <w:spacing w:line="360" w:lineRule="auto"/>
        <w:ind w:firstLine="480" w:firstLineChars="200"/>
        <w:rPr>
          <w:rFonts w:hint="eastAsia" w:ascii="宋体" w:hAnsi="宋体"/>
          <w:sz w:val="24"/>
        </w:rPr>
      </w:pPr>
      <w:r>
        <w:rPr>
          <w:rFonts w:hint="eastAsia" w:ascii="宋体" w:hAnsi="宋体" w:cs="仿宋"/>
          <w:sz w:val="24"/>
        </w:rPr>
        <w:t>3.3.1</w:t>
      </w:r>
      <w:r>
        <w:rPr>
          <w:rFonts w:hint="eastAsia" w:cs="仿宋"/>
          <w:sz w:val="24"/>
          <w:lang w:val="en-US" w:eastAsia="zh-CN"/>
        </w:rPr>
        <w:t>谈判</w:t>
      </w:r>
      <w:r>
        <w:rPr>
          <w:rFonts w:hint="eastAsia" w:ascii="宋体" w:hAnsi="宋体" w:cs="仿宋"/>
          <w:sz w:val="24"/>
        </w:rPr>
        <w:t>有效期：</w:t>
      </w:r>
      <w:r>
        <w:rPr>
          <w:rFonts w:hint="eastAsia" w:ascii="宋体" w:hAnsi="宋体"/>
          <w:sz w:val="24"/>
        </w:rPr>
        <w:t>在供应商须知前附表规定的报价有效期内，供应商不得要求撤销或修改其响应文件。</w:t>
      </w:r>
    </w:p>
    <w:p w14:paraId="7BA5A6C8">
      <w:pPr>
        <w:spacing w:line="360" w:lineRule="auto"/>
        <w:ind w:firstLine="480" w:firstLineChars="200"/>
        <w:rPr>
          <w:rFonts w:ascii="宋体" w:hAnsi="宋体" w:cs="仿宋"/>
          <w:sz w:val="24"/>
        </w:rPr>
      </w:pPr>
      <w:r>
        <w:rPr>
          <w:rFonts w:hint="eastAsia" w:ascii="宋体" w:hAnsi="宋体" w:cs="仿宋"/>
          <w:sz w:val="24"/>
        </w:rPr>
        <w:t>3.3.2 出现特殊情况需要延长</w:t>
      </w:r>
      <w:r>
        <w:rPr>
          <w:rFonts w:hint="eastAsia" w:cs="仿宋"/>
          <w:sz w:val="24"/>
          <w:lang w:val="en-US" w:eastAsia="zh-CN"/>
        </w:rPr>
        <w:t>谈判</w:t>
      </w:r>
      <w:r>
        <w:rPr>
          <w:rFonts w:hint="eastAsia" w:ascii="宋体" w:hAnsi="宋体" w:cs="仿宋"/>
          <w:sz w:val="24"/>
        </w:rPr>
        <w:t>有效期的，</w:t>
      </w:r>
      <w:r>
        <w:rPr>
          <w:rFonts w:hint="eastAsia" w:cs="仿宋"/>
          <w:sz w:val="24"/>
          <w:lang w:val="en-US" w:eastAsia="zh-CN"/>
        </w:rPr>
        <w:t>采购</w:t>
      </w:r>
      <w:r>
        <w:rPr>
          <w:rFonts w:hint="eastAsia" w:ascii="宋体" w:hAnsi="宋体" w:cs="仿宋"/>
          <w:sz w:val="24"/>
        </w:rPr>
        <w:t>人以书面形式通知所有</w:t>
      </w:r>
      <w:r>
        <w:rPr>
          <w:rFonts w:hint="eastAsia" w:cs="仿宋"/>
          <w:sz w:val="24"/>
          <w:lang w:val="en-US" w:eastAsia="zh-CN"/>
        </w:rPr>
        <w:t>供应商</w:t>
      </w:r>
      <w:r>
        <w:rPr>
          <w:rFonts w:hint="eastAsia" w:ascii="宋体" w:hAnsi="宋体" w:cs="仿宋"/>
          <w:sz w:val="24"/>
        </w:rPr>
        <w:t>延长</w:t>
      </w:r>
      <w:r>
        <w:rPr>
          <w:rFonts w:hint="eastAsia" w:cs="仿宋"/>
          <w:sz w:val="24"/>
          <w:lang w:val="en-US" w:eastAsia="zh-CN"/>
        </w:rPr>
        <w:t>谈判</w:t>
      </w:r>
      <w:r>
        <w:rPr>
          <w:rFonts w:hint="eastAsia" w:ascii="宋体" w:hAnsi="宋体" w:cs="仿宋"/>
          <w:sz w:val="24"/>
        </w:rPr>
        <w:t>有效期。</w:t>
      </w:r>
      <w:r>
        <w:rPr>
          <w:rFonts w:hint="eastAsia" w:cs="仿宋"/>
          <w:sz w:val="24"/>
          <w:lang w:val="en-US" w:eastAsia="zh-CN"/>
        </w:rPr>
        <w:t>供应商</w:t>
      </w:r>
      <w:r>
        <w:rPr>
          <w:rFonts w:hint="eastAsia" w:ascii="宋体" w:hAnsi="宋体" w:cs="仿宋"/>
          <w:sz w:val="24"/>
        </w:rPr>
        <w:t>同意延长的，应相应延长其</w:t>
      </w:r>
      <w:r>
        <w:rPr>
          <w:rFonts w:hint="eastAsia" w:cs="仿宋"/>
          <w:sz w:val="24"/>
          <w:lang w:val="en-US" w:eastAsia="zh-CN"/>
        </w:rPr>
        <w:t>谈判</w:t>
      </w:r>
      <w:r>
        <w:rPr>
          <w:rFonts w:hint="eastAsia" w:ascii="宋体" w:hAnsi="宋体" w:cs="仿宋"/>
          <w:sz w:val="24"/>
        </w:rPr>
        <w:t>保证金的有效期，但不得要求或被允许修改或撤销其</w:t>
      </w:r>
      <w:r>
        <w:rPr>
          <w:rFonts w:hint="eastAsia" w:cs="仿宋"/>
          <w:sz w:val="24"/>
          <w:lang w:val="en-US" w:eastAsia="zh-CN"/>
        </w:rPr>
        <w:t>响应</w:t>
      </w:r>
      <w:r>
        <w:rPr>
          <w:rFonts w:hint="eastAsia" w:ascii="宋体" w:hAnsi="宋体" w:cs="仿宋"/>
          <w:sz w:val="24"/>
        </w:rPr>
        <w:t>文件；</w:t>
      </w:r>
      <w:r>
        <w:rPr>
          <w:rFonts w:hint="eastAsia" w:cs="仿宋"/>
          <w:sz w:val="24"/>
          <w:lang w:val="en-US" w:eastAsia="zh-CN"/>
        </w:rPr>
        <w:t>供应商</w:t>
      </w:r>
      <w:r>
        <w:rPr>
          <w:rFonts w:hint="eastAsia" w:ascii="宋体" w:hAnsi="宋体" w:cs="仿宋"/>
          <w:sz w:val="24"/>
        </w:rPr>
        <w:t>拒绝延长的，其</w:t>
      </w:r>
      <w:r>
        <w:rPr>
          <w:rFonts w:hint="eastAsia" w:cs="仿宋"/>
          <w:sz w:val="24"/>
          <w:lang w:val="en-US" w:eastAsia="zh-CN"/>
        </w:rPr>
        <w:t>响应文件</w:t>
      </w:r>
      <w:r>
        <w:rPr>
          <w:rFonts w:hint="eastAsia" w:ascii="宋体" w:hAnsi="宋体" w:cs="仿宋"/>
          <w:sz w:val="24"/>
        </w:rPr>
        <w:t>失效，但</w:t>
      </w:r>
      <w:r>
        <w:rPr>
          <w:rFonts w:hint="eastAsia" w:cs="仿宋"/>
          <w:sz w:val="24"/>
          <w:lang w:val="en-US" w:eastAsia="zh-CN"/>
        </w:rPr>
        <w:t>供应商</w:t>
      </w:r>
      <w:r>
        <w:rPr>
          <w:rFonts w:hint="eastAsia" w:ascii="宋体" w:hAnsi="宋体" w:cs="仿宋"/>
          <w:sz w:val="24"/>
        </w:rPr>
        <w:t>有权收回其</w:t>
      </w:r>
      <w:r>
        <w:rPr>
          <w:rFonts w:hint="eastAsia" w:cs="仿宋"/>
          <w:sz w:val="24"/>
          <w:lang w:val="en-US" w:eastAsia="zh-CN"/>
        </w:rPr>
        <w:t>谈判</w:t>
      </w:r>
      <w:r>
        <w:rPr>
          <w:rFonts w:hint="eastAsia" w:ascii="宋体" w:hAnsi="宋体" w:cs="仿宋"/>
          <w:sz w:val="24"/>
        </w:rPr>
        <w:t>保证金。</w:t>
      </w:r>
    </w:p>
    <w:p w14:paraId="37024FC7">
      <w:pPr>
        <w:pStyle w:val="18"/>
        <w:rPr>
          <w:rFonts w:hint="eastAsia"/>
        </w:rPr>
      </w:pPr>
      <w:bookmarkStart w:id="51" w:name="_Toc406766396"/>
      <w:bookmarkStart w:id="52" w:name="_Toc507936032"/>
      <w:bookmarkStart w:id="53" w:name="_Toc506105838"/>
      <w:r>
        <w:rPr>
          <w:rFonts w:hint="eastAsia"/>
        </w:rPr>
        <w:t xml:space="preserve">3.4 </w:t>
      </w:r>
      <w:r>
        <w:rPr>
          <w:rFonts w:hint="eastAsia"/>
          <w:lang w:val="en-US" w:eastAsia="zh-CN"/>
        </w:rPr>
        <w:t>谈判</w:t>
      </w:r>
      <w:r>
        <w:rPr>
          <w:rFonts w:hint="eastAsia"/>
        </w:rPr>
        <w:t>保证金</w:t>
      </w:r>
      <w:bookmarkEnd w:id="51"/>
      <w:bookmarkEnd w:id="52"/>
      <w:bookmarkEnd w:id="53"/>
    </w:p>
    <w:p w14:paraId="16163474">
      <w:pPr>
        <w:spacing w:line="360" w:lineRule="auto"/>
        <w:ind w:firstLine="480" w:firstLineChars="200"/>
        <w:rPr>
          <w:rFonts w:hint="eastAsia" w:ascii="宋体" w:hAnsi="宋体" w:eastAsia="宋体" w:cs="仿宋"/>
          <w:sz w:val="24"/>
          <w:lang w:val="en-US" w:eastAsia="zh-CN"/>
        </w:rPr>
      </w:pPr>
      <w:bookmarkStart w:id="54" w:name="_Toc506105839"/>
      <w:bookmarkStart w:id="55" w:name="_Toc507936033"/>
      <w:r>
        <w:rPr>
          <w:rFonts w:hint="eastAsia" w:ascii="宋体" w:hAnsi="宋体" w:eastAsia="宋体" w:cs="仿宋"/>
          <w:sz w:val="24"/>
          <w:lang w:val="en-US" w:eastAsia="zh-CN"/>
        </w:rPr>
        <w:t>3.4.1供应商在递交响应文件的同时，应按谈判须知前附表规定的金额、形式递交谈判保证金，并作为其响应文件的组成部分。以现金或者支票形式提交的保证金，应当从其基本账户转出。联合体报名的，其保证金可以由牵头人递交，并应符合谈判人须知前附表的规定。</w:t>
      </w:r>
    </w:p>
    <w:p w14:paraId="5AA96A3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3.4.2供应商不按本章第3.4.1项要求提交谈判保证金的，评审委员会将否决其报名。</w:t>
      </w:r>
    </w:p>
    <w:p w14:paraId="53154E4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3.4.3有下列情形之一的，保证金将不予退还：</w:t>
      </w:r>
    </w:p>
    <w:p w14:paraId="1C14055C">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（1）供应商在报价有效期内撤销响应文件；</w:t>
      </w:r>
    </w:p>
    <w:p w14:paraId="16C5017F">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（2）成交单位在收到成交通知书后，无正当理由不与采购人订立合同，在签订合同时向采购人提出附加条件，或者不按照谈判文件要求提交履约保证金；</w:t>
      </w:r>
    </w:p>
    <w:p w14:paraId="05F660D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（3）发生谈判须知前附表规定的其他可以不予退还保证金的情形。</w:t>
      </w:r>
    </w:p>
    <w:p w14:paraId="2A0FB008">
      <w:pPr>
        <w:pStyle w:val="18"/>
        <w:rPr>
          <w:rFonts w:hint="eastAsia" w:ascii="Arial" w:hAnsi="Arial" w:cs="Times New Roman"/>
          <w:b w:val="0"/>
          <w:bCs w:val="0"/>
          <w:lang w:val="en-US" w:eastAsia="zh-CN"/>
        </w:rPr>
      </w:pPr>
      <w:r>
        <w:rPr>
          <w:rFonts w:hint="eastAsia" w:ascii="Arial" w:hAnsi="Arial" w:cs="Times New Roman"/>
          <w:b w:val="0"/>
          <w:bCs w:val="0"/>
          <w:lang w:val="en-US" w:eastAsia="zh-CN"/>
        </w:rPr>
        <w:t>3.5 资格审查资料</w:t>
      </w:r>
      <w:bookmarkEnd w:id="54"/>
      <w:bookmarkEnd w:id="55"/>
    </w:p>
    <w:p w14:paraId="261E226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除谈判须知前附表另有规定外，供应商应按下列规定提供资格审查资料，以证明其满足本章第1.4款规定的资质、财务、业绩、信誉等要求。</w:t>
      </w:r>
    </w:p>
    <w:p w14:paraId="503CBF58">
      <w:pPr>
        <w:spacing w:line="360" w:lineRule="auto"/>
        <w:ind w:firstLine="480" w:firstLineChars="200"/>
        <w:rPr>
          <w:rFonts w:hint="eastAsia" w:ascii="仿宋" w:hAnsi="仿宋" w:eastAsia="宋体" w:cs="Times New Roman"/>
          <w:sz w:val="28"/>
          <w:szCs w:val="28"/>
          <w:lang w:eastAsia="zh-CN"/>
        </w:rPr>
      </w:pPr>
      <w:r>
        <w:rPr>
          <w:rFonts w:hint="eastAsia" w:ascii="宋体" w:hAnsi="宋体" w:eastAsia="宋体" w:cs="仿宋"/>
          <w:sz w:val="24"/>
          <w:lang w:val="en-US" w:eastAsia="zh-CN"/>
        </w:rPr>
        <w:t>3.5.1 “供应商基本情况表”</w:t>
      </w:r>
      <w:r>
        <w:rPr>
          <w:rFonts w:ascii="宋体" w:hAnsi="宋体" w:eastAsia="宋体"/>
          <w:kern w:val="0"/>
          <w:szCs w:val="21"/>
        </w:rPr>
        <w:t>应附</w:t>
      </w:r>
      <w:r>
        <w:rPr>
          <w:rFonts w:hint="eastAsia" w:ascii="宋体" w:hAnsi="宋体" w:eastAsia="宋体"/>
          <w:kern w:val="0"/>
          <w:szCs w:val="21"/>
          <w:lang w:val="en-US" w:eastAsia="zh-CN"/>
        </w:rPr>
        <w:t>营业执照、</w:t>
      </w:r>
      <w:r>
        <w:rPr>
          <w:rFonts w:ascii="宋体" w:hAnsi="宋体" w:eastAsia="宋体"/>
          <w:kern w:val="0"/>
          <w:szCs w:val="21"/>
        </w:rPr>
        <w:t>资质证书副本等材料的</w:t>
      </w:r>
      <w:r>
        <w:rPr>
          <w:rFonts w:hint="eastAsia" w:ascii="宋体" w:hAnsi="宋体" w:eastAsia="宋体"/>
          <w:kern w:val="0"/>
          <w:szCs w:val="21"/>
          <w:lang w:eastAsia="zh-CN"/>
        </w:rPr>
        <w:t>原件扫描件。</w:t>
      </w:r>
    </w:p>
    <w:p w14:paraId="0D0B1AB3">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3.5.2 “近年财务状况表”应附经会计师事务所或审计机构审计的财务会计报表扫描件，具体年份要求见谈判须知前附表。</w:t>
      </w:r>
    </w:p>
    <w:p w14:paraId="0454073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3.5.3“近年完成的业绩情况表”应附合同的原件扫描件，具体时间要求见谈判须知前附表。</w:t>
      </w:r>
    </w:p>
    <w:p w14:paraId="38E19D76">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3.5.4“近年发生的诉讼及仲裁情况”应附败诉的买卖合同的相关情况，并附法院或仲裁机构作出的判决、裁决等有关法律文书，具体时间要求见谈判须知前附表。</w:t>
      </w:r>
    </w:p>
    <w:p w14:paraId="2512ADA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3.5.5供应商认为有必要提供的其他证明文件。</w:t>
      </w:r>
    </w:p>
    <w:p w14:paraId="4BB9520A">
      <w:pPr>
        <w:pStyle w:val="18"/>
        <w:rPr>
          <w:rFonts w:hint="eastAsia" w:ascii="Arial" w:hAnsi="Arial" w:cs="Times New Roman"/>
          <w:b w:val="0"/>
          <w:bCs w:val="0"/>
        </w:rPr>
      </w:pPr>
      <w:bookmarkStart w:id="56" w:name="_Toc507936034"/>
      <w:bookmarkStart w:id="57" w:name="_Toc506105840"/>
      <w:r>
        <w:rPr>
          <w:rFonts w:hint="eastAsia" w:ascii="Arial" w:hAnsi="Arial" w:cs="Times New Roman"/>
          <w:b w:val="0"/>
          <w:bCs w:val="0"/>
        </w:rPr>
        <w:t>3.6 备选方案</w:t>
      </w:r>
      <w:bookmarkEnd w:id="56"/>
      <w:bookmarkEnd w:id="57"/>
    </w:p>
    <w:p w14:paraId="442F133C">
      <w:pPr>
        <w:spacing w:line="360" w:lineRule="auto"/>
        <w:ind w:firstLine="480" w:firstLineChars="200"/>
        <w:rPr>
          <w:rFonts w:hint="eastAsia" w:ascii="宋体" w:hAnsi="宋体" w:eastAsia="宋体" w:cs="仿宋"/>
          <w:sz w:val="24"/>
        </w:rPr>
      </w:pPr>
      <w:r>
        <w:rPr>
          <w:rFonts w:hint="eastAsia" w:ascii="宋体" w:hAnsi="宋体" w:eastAsia="宋体" w:cs="仿宋"/>
          <w:sz w:val="24"/>
        </w:rPr>
        <w:t>3.6.1本</w:t>
      </w:r>
      <w:r>
        <w:rPr>
          <w:rFonts w:hint="eastAsia" w:ascii="宋体" w:hAnsi="宋体" w:eastAsia="宋体" w:cs="仿宋"/>
          <w:sz w:val="24"/>
          <w:lang w:val="en-US" w:eastAsia="zh-CN"/>
        </w:rPr>
        <w:t>次谈判</w:t>
      </w:r>
      <w:r>
        <w:rPr>
          <w:rFonts w:hint="eastAsia" w:ascii="宋体" w:hAnsi="宋体" w:eastAsia="宋体" w:cs="仿宋"/>
          <w:sz w:val="24"/>
        </w:rPr>
        <w:t>不接受备选方案。</w:t>
      </w:r>
    </w:p>
    <w:p w14:paraId="065F093D">
      <w:pPr>
        <w:pStyle w:val="18"/>
      </w:pPr>
      <w:bookmarkStart w:id="58" w:name="_Toc507936035"/>
      <w:bookmarkStart w:id="59" w:name="_Toc506105841"/>
      <w:r>
        <w:rPr>
          <w:rFonts w:hint="eastAsia"/>
        </w:rPr>
        <w:t xml:space="preserve">3.7 </w:t>
      </w:r>
      <w:r>
        <w:rPr>
          <w:rFonts w:hint="eastAsia"/>
          <w:lang w:val="en-US" w:eastAsia="zh-CN"/>
        </w:rPr>
        <w:t>响应</w:t>
      </w:r>
      <w:r>
        <w:rPr>
          <w:rFonts w:hint="eastAsia"/>
        </w:rPr>
        <w:t>文件的编制</w:t>
      </w:r>
      <w:bookmarkEnd w:id="58"/>
      <w:bookmarkEnd w:id="59"/>
    </w:p>
    <w:p w14:paraId="75CDE343">
      <w:pPr>
        <w:spacing w:line="360" w:lineRule="auto"/>
        <w:ind w:firstLine="480" w:firstLineChars="200"/>
        <w:rPr>
          <w:rFonts w:ascii="宋体" w:hAnsi="宋体" w:cs="仿宋"/>
          <w:sz w:val="24"/>
        </w:rPr>
      </w:pPr>
      <w:r>
        <w:rPr>
          <w:rFonts w:hint="eastAsia" w:ascii="宋体" w:hAnsi="宋体" w:cs="仿宋"/>
          <w:sz w:val="24"/>
        </w:rPr>
        <w:t>3.7.1</w:t>
      </w:r>
      <w:r>
        <w:rPr>
          <w:rFonts w:hint="eastAsia" w:cs="仿宋"/>
          <w:sz w:val="24"/>
          <w:lang w:val="en-US" w:eastAsia="zh-CN"/>
        </w:rPr>
        <w:t>响应</w:t>
      </w:r>
      <w:r>
        <w:rPr>
          <w:rFonts w:hint="eastAsia" w:ascii="宋体" w:hAnsi="宋体" w:cs="仿宋"/>
          <w:sz w:val="24"/>
        </w:rPr>
        <w:t>文件应按《第五章</w:t>
      </w:r>
      <w:r>
        <w:rPr>
          <w:rFonts w:hint="eastAsia" w:cs="仿宋"/>
          <w:sz w:val="24"/>
          <w:lang w:val="en-US" w:eastAsia="zh-CN"/>
        </w:rPr>
        <w:t>响应</w:t>
      </w:r>
      <w:r>
        <w:rPr>
          <w:rFonts w:hint="eastAsia" w:ascii="宋体" w:hAnsi="宋体" w:cs="仿宋"/>
          <w:sz w:val="24"/>
        </w:rPr>
        <w:t>文件格式及内容》要求进行编写。</w:t>
      </w:r>
    </w:p>
    <w:p w14:paraId="627F8AD7">
      <w:pPr>
        <w:spacing w:line="360" w:lineRule="auto"/>
        <w:ind w:firstLine="480" w:firstLineChars="200"/>
        <w:rPr>
          <w:rFonts w:ascii="宋体" w:hAnsi="宋体" w:cs="仿宋"/>
          <w:sz w:val="24"/>
        </w:rPr>
      </w:pPr>
      <w:r>
        <w:rPr>
          <w:rFonts w:hint="eastAsia" w:ascii="宋体" w:hAnsi="宋体" w:cs="仿宋"/>
          <w:sz w:val="24"/>
        </w:rPr>
        <w:t>3.7.2</w:t>
      </w:r>
      <w:r>
        <w:rPr>
          <w:rFonts w:hint="eastAsia" w:cs="仿宋"/>
          <w:sz w:val="24"/>
          <w:lang w:val="en-US" w:eastAsia="zh-CN"/>
        </w:rPr>
        <w:t>响应</w:t>
      </w:r>
      <w:r>
        <w:rPr>
          <w:rFonts w:hint="eastAsia" w:ascii="宋体" w:hAnsi="宋体" w:cs="仿宋"/>
          <w:sz w:val="24"/>
        </w:rPr>
        <w:t>文件应当对</w:t>
      </w:r>
      <w:r>
        <w:rPr>
          <w:rFonts w:hint="eastAsia" w:cs="仿宋"/>
          <w:sz w:val="24"/>
          <w:lang w:val="en-US" w:eastAsia="zh-CN"/>
        </w:rPr>
        <w:t>谈判</w:t>
      </w:r>
      <w:r>
        <w:rPr>
          <w:rFonts w:hint="eastAsia" w:ascii="宋体" w:hAnsi="宋体" w:cs="仿宋"/>
          <w:sz w:val="24"/>
        </w:rPr>
        <w:t>文件有关交货期、</w:t>
      </w:r>
      <w:r>
        <w:rPr>
          <w:rFonts w:hint="eastAsia" w:cs="仿宋"/>
          <w:sz w:val="24"/>
          <w:lang w:val="en-US" w:eastAsia="zh-CN"/>
        </w:rPr>
        <w:t>谈判</w:t>
      </w:r>
      <w:r>
        <w:rPr>
          <w:rFonts w:hint="eastAsia" w:ascii="宋体" w:hAnsi="宋体" w:cs="仿宋"/>
          <w:sz w:val="24"/>
        </w:rPr>
        <w:t>有效期、质量要求、技术</w:t>
      </w:r>
      <w:r>
        <w:rPr>
          <w:rFonts w:hint="eastAsia" w:cs="仿宋"/>
          <w:sz w:val="24"/>
          <w:lang w:val="en-US" w:eastAsia="zh-CN"/>
        </w:rPr>
        <w:t>标准和</w:t>
      </w:r>
      <w:r>
        <w:rPr>
          <w:rFonts w:hint="eastAsia" w:ascii="宋体" w:hAnsi="宋体" w:cs="仿宋"/>
          <w:sz w:val="24"/>
        </w:rPr>
        <w:t>要求、</w:t>
      </w:r>
      <w:r>
        <w:rPr>
          <w:rFonts w:hint="eastAsia" w:cs="仿宋"/>
          <w:sz w:val="24"/>
          <w:lang w:val="en-US" w:eastAsia="zh-CN"/>
        </w:rPr>
        <w:t>采购</w:t>
      </w:r>
      <w:r>
        <w:rPr>
          <w:rFonts w:hint="eastAsia" w:ascii="宋体" w:hAnsi="宋体" w:cs="仿宋"/>
          <w:sz w:val="24"/>
        </w:rPr>
        <w:t>范围等实质性内容作出响应。</w:t>
      </w:r>
    </w:p>
    <w:p w14:paraId="247577B4">
      <w:pPr>
        <w:spacing w:line="360" w:lineRule="auto"/>
        <w:ind w:firstLine="480" w:firstLineChars="200"/>
        <w:rPr>
          <w:rFonts w:ascii="宋体" w:hAnsi="宋体" w:cs="仿宋"/>
          <w:sz w:val="24"/>
        </w:rPr>
      </w:pPr>
      <w:r>
        <w:rPr>
          <w:rFonts w:hint="eastAsia" w:ascii="宋体" w:hAnsi="宋体" w:cs="仿宋"/>
          <w:sz w:val="24"/>
        </w:rPr>
        <w:t>3.7.3</w:t>
      </w:r>
      <w:r>
        <w:rPr>
          <w:rFonts w:hint="eastAsia" w:cs="仿宋"/>
          <w:sz w:val="24"/>
          <w:lang w:val="en-US" w:eastAsia="zh-CN"/>
        </w:rPr>
        <w:t>响应</w:t>
      </w:r>
      <w:r>
        <w:rPr>
          <w:rFonts w:hint="eastAsia" w:ascii="宋体" w:hAnsi="宋体" w:cs="仿宋"/>
          <w:sz w:val="24"/>
        </w:rPr>
        <w:t>文件应用不褪色的材料书写或打印，并由法定代表人或其委托代理人签字或盖</w:t>
      </w:r>
      <w:r>
        <w:rPr>
          <w:rFonts w:hint="eastAsia" w:cs="仿宋"/>
          <w:sz w:val="24"/>
          <w:lang w:val="en-US" w:eastAsia="zh-CN"/>
        </w:rPr>
        <w:t>公</w:t>
      </w:r>
      <w:r>
        <w:rPr>
          <w:rFonts w:hint="eastAsia" w:ascii="宋体" w:hAnsi="宋体" w:cs="仿宋"/>
          <w:sz w:val="24"/>
        </w:rPr>
        <w:t>章。签字或盖章的具体要求见</w:t>
      </w:r>
      <w:r>
        <w:rPr>
          <w:rFonts w:hint="eastAsia" w:cs="仿宋"/>
          <w:sz w:val="24"/>
          <w:lang w:val="en-US" w:eastAsia="zh-CN"/>
        </w:rPr>
        <w:t>谈判</w:t>
      </w:r>
      <w:r>
        <w:rPr>
          <w:rFonts w:hint="eastAsia" w:ascii="宋体" w:hAnsi="宋体" w:cs="仿宋"/>
          <w:sz w:val="24"/>
        </w:rPr>
        <w:t>须知前附表。</w:t>
      </w:r>
    </w:p>
    <w:p w14:paraId="6524883A">
      <w:pPr>
        <w:spacing w:line="360" w:lineRule="auto"/>
        <w:ind w:firstLine="480" w:firstLineChars="200"/>
        <w:rPr>
          <w:rFonts w:ascii="宋体" w:hAnsi="宋体" w:cs="仿宋"/>
          <w:sz w:val="24"/>
        </w:rPr>
      </w:pPr>
      <w:r>
        <w:rPr>
          <w:rFonts w:hint="eastAsia" w:ascii="宋体" w:hAnsi="宋体" w:cs="仿宋"/>
          <w:sz w:val="24"/>
        </w:rPr>
        <w:t>3.7.4</w:t>
      </w:r>
      <w:r>
        <w:rPr>
          <w:rFonts w:hint="eastAsia" w:cs="仿宋"/>
          <w:sz w:val="24"/>
          <w:lang w:val="en-US" w:eastAsia="zh-CN"/>
        </w:rPr>
        <w:t>响应</w:t>
      </w:r>
      <w:r>
        <w:rPr>
          <w:rFonts w:hint="eastAsia" w:ascii="宋体" w:hAnsi="宋体" w:cs="仿宋"/>
          <w:sz w:val="24"/>
        </w:rPr>
        <w:t>文件正本和副本的封面上应清楚地标记“正本”或“副本”的字样。当副本和正本不一致时，以正本为准。</w:t>
      </w:r>
    </w:p>
    <w:p w14:paraId="7C2E76F0">
      <w:pPr>
        <w:spacing w:line="360" w:lineRule="auto"/>
        <w:ind w:firstLine="480" w:firstLineChars="200"/>
        <w:rPr>
          <w:rFonts w:ascii="宋体" w:hAnsi="宋体" w:cs="仿宋"/>
          <w:sz w:val="24"/>
        </w:rPr>
      </w:pPr>
      <w:r>
        <w:rPr>
          <w:rFonts w:hint="eastAsia" w:ascii="宋体" w:hAnsi="宋体" w:cs="仿宋"/>
          <w:sz w:val="24"/>
        </w:rPr>
        <w:t>3.7.5</w:t>
      </w:r>
      <w:r>
        <w:rPr>
          <w:rFonts w:hint="eastAsia" w:cs="仿宋"/>
          <w:sz w:val="24"/>
          <w:lang w:val="en-US" w:eastAsia="zh-CN"/>
        </w:rPr>
        <w:t>响应</w:t>
      </w:r>
      <w:r>
        <w:rPr>
          <w:rFonts w:hint="eastAsia" w:ascii="宋体" w:hAnsi="宋体" w:cs="仿宋"/>
          <w:sz w:val="24"/>
        </w:rPr>
        <w:t>文件的正本与副本应分别装订成册，并编制目录，详见</w:t>
      </w:r>
      <w:r>
        <w:rPr>
          <w:rFonts w:hint="eastAsia" w:cs="仿宋"/>
          <w:sz w:val="24"/>
          <w:lang w:val="en-US" w:eastAsia="zh-CN"/>
        </w:rPr>
        <w:t>谈判</w:t>
      </w:r>
      <w:r>
        <w:rPr>
          <w:rFonts w:hint="eastAsia" w:ascii="宋体" w:hAnsi="宋体" w:cs="仿宋"/>
          <w:sz w:val="24"/>
        </w:rPr>
        <w:t>须知前附表。</w:t>
      </w:r>
    </w:p>
    <w:p w14:paraId="31B7E48E">
      <w:pPr>
        <w:spacing w:line="360" w:lineRule="auto"/>
        <w:jc w:val="center"/>
        <w:rPr>
          <w:rStyle w:val="20"/>
          <w:rFonts w:hint="eastAsia" w:ascii="宋体" w:hAnsi="宋体" w:eastAsia="宋体"/>
          <w:b/>
          <w:lang w:eastAsia="zh-CN"/>
        </w:rPr>
      </w:pPr>
      <w:r>
        <w:rPr>
          <w:rStyle w:val="20"/>
          <w:rFonts w:hint="eastAsia" w:ascii="宋体" w:hAnsi="宋体"/>
          <w:b/>
        </w:rPr>
        <w:t>4.</w:t>
      </w:r>
      <w:r>
        <w:rPr>
          <w:rStyle w:val="20"/>
          <w:rFonts w:hint="eastAsia" w:eastAsia="宋体"/>
          <w:b/>
          <w:lang w:val="en-US" w:eastAsia="zh-CN"/>
        </w:rPr>
        <w:t>响应</w:t>
      </w:r>
    </w:p>
    <w:p w14:paraId="155A05FC">
      <w:pPr>
        <w:pStyle w:val="18"/>
      </w:pPr>
      <w:bookmarkStart w:id="60" w:name="_Toc506105844"/>
      <w:bookmarkStart w:id="61" w:name="_Toc507936037"/>
      <w:bookmarkStart w:id="62" w:name="_Toc507936039"/>
      <w:bookmarkStart w:id="63" w:name="_Toc506105846"/>
      <w:r>
        <w:rPr>
          <w:rFonts w:hint="eastAsia"/>
        </w:rPr>
        <w:t>4.</w:t>
      </w:r>
      <w:r>
        <w:rPr>
          <w:rFonts w:hint="eastAsia"/>
          <w:lang w:val="en-US" w:eastAsia="zh-CN"/>
        </w:rPr>
        <w:t>1</w:t>
      </w:r>
      <w:r>
        <w:rPr>
          <w:rFonts w:hint="eastAsia"/>
        </w:rPr>
        <w:t xml:space="preserve"> </w:t>
      </w:r>
      <w:r>
        <w:rPr>
          <w:rFonts w:hint="eastAsia"/>
          <w:lang w:val="en-US" w:eastAsia="zh-CN"/>
        </w:rPr>
        <w:t>响应</w:t>
      </w:r>
      <w:r>
        <w:rPr>
          <w:rFonts w:hint="eastAsia"/>
        </w:rPr>
        <w:t>文件的递交</w:t>
      </w:r>
      <w:bookmarkEnd w:id="60"/>
      <w:bookmarkEnd w:id="61"/>
    </w:p>
    <w:p w14:paraId="692BDB6D">
      <w:pPr>
        <w:spacing w:line="360" w:lineRule="auto"/>
        <w:ind w:firstLine="480" w:firstLineChars="200"/>
        <w:rPr>
          <w:rFonts w:ascii="宋体" w:hAnsi="宋体" w:cs="仿宋"/>
          <w:sz w:val="24"/>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0E364702">
      <w:pPr>
        <w:pStyle w:val="18"/>
      </w:pPr>
      <w:bookmarkStart w:id="64" w:name="_Toc506105845"/>
      <w:bookmarkStart w:id="65" w:name="_Toc507936038"/>
      <w:r>
        <w:rPr>
          <w:rFonts w:hint="eastAsia"/>
        </w:rPr>
        <w:t>4.</w:t>
      </w:r>
      <w:r>
        <w:rPr>
          <w:rFonts w:hint="eastAsia"/>
          <w:lang w:val="en-US" w:eastAsia="zh-CN"/>
        </w:rPr>
        <w:t>2</w:t>
      </w:r>
      <w:r>
        <w:rPr>
          <w:rFonts w:hint="eastAsia"/>
        </w:rPr>
        <w:t xml:space="preserve"> </w:t>
      </w:r>
      <w:r>
        <w:rPr>
          <w:rFonts w:hint="eastAsia"/>
          <w:lang w:val="en-US" w:eastAsia="zh-CN"/>
        </w:rPr>
        <w:t>响应</w:t>
      </w:r>
      <w:r>
        <w:rPr>
          <w:rFonts w:hint="eastAsia"/>
        </w:rPr>
        <w:t>文件的修改与撤回</w:t>
      </w:r>
      <w:bookmarkEnd w:id="64"/>
      <w:bookmarkEnd w:id="65"/>
    </w:p>
    <w:p w14:paraId="5DFED14A">
      <w:pPr>
        <w:spacing w:line="360" w:lineRule="auto"/>
        <w:ind w:firstLine="480" w:firstLineChars="200"/>
        <w:rPr>
          <w:rFonts w:ascii="宋体" w:hAnsi="宋体" w:cs="仿宋"/>
          <w:sz w:val="24"/>
        </w:rPr>
      </w:pPr>
      <w:r>
        <w:rPr>
          <w:rFonts w:hint="eastAsia" w:ascii="宋体" w:hAnsi="宋体" w:cs="仿宋"/>
          <w:sz w:val="24"/>
        </w:rPr>
        <w:t>在</w:t>
      </w:r>
      <w:r>
        <w:rPr>
          <w:rFonts w:hint="eastAsia" w:cs="仿宋"/>
          <w:sz w:val="24"/>
          <w:lang w:val="en-US" w:eastAsia="zh-CN"/>
        </w:rPr>
        <w:t>上传响应文件截止时间</w:t>
      </w:r>
      <w:r>
        <w:rPr>
          <w:rFonts w:hint="eastAsia" w:ascii="宋体" w:hAnsi="宋体" w:cs="仿宋"/>
          <w:sz w:val="24"/>
        </w:rPr>
        <w:t>前，</w:t>
      </w:r>
      <w:r>
        <w:rPr>
          <w:rFonts w:hint="eastAsia" w:cs="仿宋"/>
          <w:sz w:val="24"/>
          <w:lang w:val="en-US" w:eastAsia="zh-CN"/>
        </w:rPr>
        <w:t>供应商</w:t>
      </w:r>
      <w:r>
        <w:rPr>
          <w:rFonts w:hint="eastAsia" w:ascii="宋体" w:hAnsi="宋体" w:cs="仿宋"/>
          <w:sz w:val="24"/>
        </w:rPr>
        <w:t>可以修改或撤回已递交的</w:t>
      </w:r>
      <w:r>
        <w:rPr>
          <w:rFonts w:hint="eastAsia" w:cs="仿宋"/>
          <w:sz w:val="24"/>
          <w:lang w:val="en-US" w:eastAsia="zh-CN"/>
        </w:rPr>
        <w:t>响应</w:t>
      </w:r>
      <w:r>
        <w:rPr>
          <w:rFonts w:hint="eastAsia" w:ascii="宋体" w:hAnsi="宋体" w:cs="仿宋"/>
          <w:sz w:val="24"/>
        </w:rPr>
        <w:t>文件。</w:t>
      </w:r>
    </w:p>
    <w:p w14:paraId="06DBA9E1">
      <w:pPr>
        <w:pStyle w:val="13"/>
        <w:rPr>
          <w:rStyle w:val="20"/>
          <w:rFonts w:hint="eastAsia" w:eastAsia="宋体"/>
          <w:b w:val="0"/>
          <w:bCs w:val="0"/>
          <w:lang w:eastAsia="zh-CN"/>
        </w:rPr>
      </w:pPr>
      <w:r>
        <w:rPr>
          <w:rStyle w:val="20"/>
          <w:rFonts w:hint="eastAsia"/>
          <w:b w:val="0"/>
          <w:bCs w:val="0"/>
        </w:rPr>
        <w:t>5.</w:t>
      </w:r>
      <w:bookmarkEnd w:id="62"/>
      <w:bookmarkEnd w:id="63"/>
      <w:r>
        <w:rPr>
          <w:rStyle w:val="20"/>
          <w:rFonts w:hint="eastAsia" w:eastAsia="宋体"/>
          <w:b w:val="0"/>
          <w:bCs w:val="0"/>
          <w:lang w:val="en-US" w:eastAsia="zh-CN"/>
        </w:rPr>
        <w:t>谈判</w:t>
      </w:r>
    </w:p>
    <w:p w14:paraId="003AD3B3">
      <w:pPr>
        <w:pStyle w:val="18"/>
        <w:rPr>
          <w:rFonts w:hint="eastAsia" w:eastAsia="宋体"/>
          <w:lang w:eastAsia="zh-CN"/>
        </w:rPr>
      </w:pPr>
      <w:bookmarkStart w:id="66" w:name="_Toc506105847"/>
      <w:bookmarkStart w:id="67" w:name="_Toc507936040"/>
      <w:r>
        <w:rPr>
          <w:rFonts w:hint="eastAsia"/>
        </w:rPr>
        <w:t xml:space="preserve">5.1 </w:t>
      </w:r>
      <w:bookmarkEnd w:id="66"/>
      <w:bookmarkEnd w:id="67"/>
      <w:bookmarkStart w:id="68" w:name="_Toc506105848"/>
      <w:r>
        <w:rPr>
          <w:rFonts w:hint="eastAsia"/>
          <w:lang w:val="en-US" w:eastAsia="zh-CN"/>
        </w:rPr>
        <w:t>谈判</w:t>
      </w:r>
    </w:p>
    <w:p w14:paraId="342407E0">
      <w:pPr>
        <w:spacing w:line="360" w:lineRule="auto"/>
        <w:rPr>
          <w:rFonts w:hint="eastAsia" w:ascii="宋体" w:hAnsi="宋体" w:cs="仿宋"/>
          <w:sz w:val="24"/>
        </w:rPr>
      </w:pPr>
      <w:r>
        <w:rPr>
          <w:rFonts w:hint="eastAsia" w:cs="宋体"/>
          <w:sz w:val="24"/>
          <w:lang w:val="en-US" w:eastAsia="zh-CN"/>
        </w:rPr>
        <w:t>谈判</w:t>
      </w:r>
      <w:r>
        <w:rPr>
          <w:rFonts w:hint="eastAsia" w:ascii="宋体" w:hAnsi="宋体" w:cs="宋体"/>
          <w:sz w:val="24"/>
        </w:rPr>
        <w:t>时间和</w:t>
      </w:r>
      <w:r>
        <w:rPr>
          <w:rFonts w:hint="eastAsia" w:cs="宋体"/>
          <w:sz w:val="24"/>
          <w:lang w:val="en-US" w:eastAsia="zh-CN"/>
        </w:rPr>
        <w:t>方式</w:t>
      </w:r>
      <w:r>
        <w:rPr>
          <w:rFonts w:hint="eastAsia" w:ascii="宋体" w:hAnsi="宋体" w:cs="宋体"/>
          <w:sz w:val="24"/>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bookmarkEnd w:id="68"/>
    <w:p w14:paraId="435BAAF5">
      <w:pPr>
        <w:pStyle w:val="13"/>
        <w:rPr>
          <w:rStyle w:val="20"/>
          <w:rFonts w:hint="eastAsia" w:ascii="宋体" w:hAnsi="宋体" w:eastAsia="宋体" w:cs="宋体"/>
          <w:b/>
          <w:bCs/>
          <w:lang w:val="en-US" w:eastAsia="zh-CN"/>
        </w:rPr>
      </w:pPr>
      <w:bookmarkStart w:id="69" w:name="_Toc507936041"/>
      <w:bookmarkStart w:id="70" w:name="_Toc506105849"/>
      <w:r>
        <w:rPr>
          <w:rStyle w:val="20"/>
          <w:rFonts w:hint="eastAsia"/>
          <w:b w:val="0"/>
          <w:bCs w:val="0"/>
        </w:rPr>
        <w:t>6.</w:t>
      </w:r>
      <w:bookmarkEnd w:id="69"/>
      <w:bookmarkEnd w:id="70"/>
      <w:r>
        <w:rPr>
          <w:rStyle w:val="20"/>
          <w:rFonts w:hint="eastAsia" w:ascii="宋体" w:hAnsi="宋体" w:eastAsia="宋体" w:cs="宋体"/>
          <w:b/>
          <w:bCs/>
          <w:lang w:val="en-US" w:eastAsia="zh-CN"/>
        </w:rPr>
        <w:t>响应文件的评审</w:t>
      </w:r>
    </w:p>
    <w:p w14:paraId="60787BF2">
      <w:pPr>
        <w:spacing w:line="360" w:lineRule="auto"/>
        <w:ind w:left="0" w:leftChars="0" w:firstLine="480" w:firstLineChars="200"/>
        <w:rPr>
          <w:rFonts w:hint="eastAsia"/>
          <w:sz w:val="24"/>
          <w:lang w:val="en-US" w:eastAsia="zh-CN"/>
        </w:rPr>
      </w:pPr>
      <w:bookmarkStart w:id="71" w:name="_Toc507936046"/>
      <w:bookmarkStart w:id="72" w:name="_Toc506105854"/>
      <w:r>
        <w:rPr>
          <w:rFonts w:hint="eastAsia"/>
          <w:sz w:val="24"/>
          <w:lang w:val="en-US" w:eastAsia="zh-CN"/>
        </w:rPr>
        <w:t>6.1 评审程序</w:t>
      </w:r>
    </w:p>
    <w:p w14:paraId="0AE27706">
      <w:pPr>
        <w:spacing w:line="360" w:lineRule="auto"/>
        <w:ind w:left="0" w:leftChars="0" w:firstLine="480" w:firstLineChars="200"/>
        <w:rPr>
          <w:rFonts w:hint="eastAsia"/>
          <w:sz w:val="24"/>
        </w:rPr>
      </w:pPr>
      <w:r>
        <w:rPr>
          <w:rFonts w:hint="eastAsia" w:hAnsi="宋体"/>
          <w:sz w:val="24"/>
        </w:rPr>
        <w:t>6.1</w:t>
      </w:r>
      <w:r>
        <w:rPr>
          <w:rFonts w:hint="eastAsia"/>
          <w:sz w:val="24"/>
          <w:lang w:val="en-US" w:eastAsia="zh-CN"/>
        </w:rPr>
        <w:t>.1</w:t>
      </w:r>
      <w:r>
        <w:rPr>
          <w:rFonts w:hint="eastAsia"/>
          <w:sz w:val="24"/>
        </w:rPr>
        <w:t>谈判小组依据谈判文件的规定，对</w:t>
      </w:r>
      <w:r>
        <w:rPr>
          <w:rFonts w:hint="eastAsia"/>
          <w:sz w:val="24"/>
          <w:lang w:val="en-US" w:eastAsia="zh-CN"/>
        </w:rPr>
        <w:t>响应</w:t>
      </w:r>
      <w:r>
        <w:rPr>
          <w:rFonts w:hint="eastAsia"/>
          <w:sz w:val="24"/>
        </w:rPr>
        <w:t>文件的有效性、完整性和对谈判文件的响应程度进行审查，以确定是否对谈判文件的要求做出实质性响应。未对谈判文件做实质性响应的供应商，</w:t>
      </w:r>
      <w:r>
        <w:rPr>
          <w:rFonts w:hint="eastAsia"/>
          <w:sz w:val="24"/>
          <w:lang w:eastAsia="zh-CN"/>
        </w:rPr>
        <w:t>为无效报价，</w:t>
      </w:r>
      <w:r>
        <w:rPr>
          <w:rFonts w:hint="eastAsia"/>
          <w:sz w:val="24"/>
        </w:rPr>
        <w:t>不得进入具体谈判程序。</w:t>
      </w:r>
    </w:p>
    <w:p w14:paraId="75249B0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对某一供应商的鉴定中，若有半数以上谈判小组成员认为某供应商有一项以上（包括一项）“不符合”，则该供应商不得进入下一步的评审。</w:t>
      </w:r>
    </w:p>
    <w:p w14:paraId="2F0A4C3F">
      <w:pPr>
        <w:spacing w:line="360" w:lineRule="auto"/>
        <w:ind w:left="0" w:leftChars="0" w:firstLine="480" w:firstLineChars="200"/>
        <w:rPr>
          <w:sz w:val="24"/>
        </w:rPr>
      </w:pPr>
      <w:r>
        <w:rPr>
          <w:rFonts w:hint="eastAsia"/>
          <w:sz w:val="24"/>
          <w:lang w:val="en-US" w:eastAsia="zh-CN"/>
        </w:rPr>
        <w:t>6.1.2</w:t>
      </w:r>
      <w:r>
        <w:rPr>
          <w:rFonts w:hAnsi="宋体"/>
          <w:sz w:val="24"/>
        </w:rPr>
        <w:t>评审内容的保密</w:t>
      </w:r>
    </w:p>
    <w:p w14:paraId="0D1117F2">
      <w:pPr>
        <w:spacing w:line="360" w:lineRule="auto"/>
        <w:ind w:left="0" w:leftChars="0" w:firstLine="480" w:firstLineChars="200"/>
        <w:rPr>
          <w:sz w:val="24"/>
        </w:rPr>
      </w:pPr>
      <w:r>
        <w:rPr>
          <w:rFonts w:hint="eastAsia"/>
          <w:sz w:val="24"/>
        </w:rPr>
        <w:t>（1）</w:t>
      </w:r>
      <w:r>
        <w:rPr>
          <w:rFonts w:hAnsi="宋体"/>
          <w:sz w:val="24"/>
        </w:rPr>
        <w:t>谈判开始，直到宣布成交供应商为止，凡属于审查、报价和比较报价的所有资料，有关授予合同的信息，都不应向供应商或与评审无关的其他人泄露。</w:t>
      </w:r>
    </w:p>
    <w:p w14:paraId="27D251AE">
      <w:pPr>
        <w:spacing w:line="360" w:lineRule="auto"/>
        <w:ind w:left="0" w:leftChars="0" w:firstLine="480" w:firstLineChars="200"/>
        <w:rPr>
          <w:sz w:val="24"/>
        </w:rPr>
      </w:pPr>
      <w:r>
        <w:rPr>
          <w:rFonts w:hint="eastAsia"/>
          <w:sz w:val="24"/>
        </w:rPr>
        <w:t>（2）</w:t>
      </w:r>
      <w:r>
        <w:rPr>
          <w:rFonts w:hAnsi="宋体"/>
          <w:sz w:val="24"/>
        </w:rPr>
        <w:t>在响应文件的审查、澄清、评价和比较以及授予合同过程中，供应商对采购人和谈判小组成员施加影响的任何行为，都将导致取消其报价资格。</w:t>
      </w:r>
    </w:p>
    <w:p w14:paraId="0D511B04">
      <w:pPr>
        <w:spacing w:line="360" w:lineRule="auto"/>
        <w:ind w:left="0" w:leftChars="0" w:firstLine="480" w:firstLineChars="200"/>
        <w:rPr>
          <w:rFonts w:hint="eastAsia"/>
          <w:sz w:val="24"/>
        </w:rPr>
      </w:pPr>
      <w:r>
        <w:rPr>
          <w:rFonts w:hint="eastAsia"/>
          <w:sz w:val="24"/>
        </w:rPr>
        <w:t>6.1.3</w:t>
      </w:r>
      <w:r>
        <w:rPr>
          <w:rFonts w:hint="eastAsia" w:hAnsi="宋体"/>
          <w:sz w:val="24"/>
        </w:rPr>
        <w:t xml:space="preserve"> </w:t>
      </w:r>
      <w:r>
        <w:rPr>
          <w:rFonts w:hAnsi="宋体"/>
          <w:sz w:val="24"/>
        </w:rPr>
        <w:t>报价</w:t>
      </w:r>
      <w:r>
        <w:rPr>
          <w:rFonts w:hint="eastAsia" w:hAnsi="宋体"/>
          <w:sz w:val="24"/>
        </w:rPr>
        <w:t>无效</w:t>
      </w:r>
    </w:p>
    <w:p w14:paraId="3FFEC55C">
      <w:pPr>
        <w:spacing w:line="360" w:lineRule="auto"/>
        <w:ind w:left="0" w:leftChars="0" w:firstLine="480" w:firstLineChars="200"/>
        <w:rPr>
          <w:sz w:val="24"/>
        </w:rPr>
      </w:pPr>
      <w:r>
        <w:rPr>
          <w:rFonts w:hint="eastAsia"/>
          <w:sz w:val="24"/>
        </w:rPr>
        <w:t>6.1.3.</w:t>
      </w:r>
      <w:r>
        <w:rPr>
          <w:sz w:val="24"/>
        </w:rPr>
        <w:t>1</w:t>
      </w:r>
      <w:r>
        <w:rPr>
          <w:rFonts w:hAnsi="宋体"/>
          <w:sz w:val="24"/>
        </w:rPr>
        <w:t>供应商有下列情况之一者，其报价</w:t>
      </w:r>
      <w:r>
        <w:rPr>
          <w:rFonts w:hint="eastAsia" w:hAnsi="宋体"/>
          <w:sz w:val="24"/>
        </w:rPr>
        <w:t>无效</w:t>
      </w:r>
      <w:r>
        <w:rPr>
          <w:rFonts w:hAnsi="宋体"/>
          <w:sz w:val="24"/>
        </w:rPr>
        <w:t>，但报价保证金不被没收：</w:t>
      </w:r>
    </w:p>
    <w:p w14:paraId="7E0E053C">
      <w:pPr>
        <w:spacing w:line="360" w:lineRule="auto"/>
        <w:ind w:left="0" w:leftChars="0" w:firstLine="480" w:firstLineChars="200"/>
        <w:rPr>
          <w:sz w:val="24"/>
        </w:rPr>
      </w:pPr>
      <w:r>
        <w:rPr>
          <w:rFonts w:hAnsi="宋体"/>
          <w:sz w:val="24"/>
        </w:rPr>
        <w:t>（</w:t>
      </w:r>
      <w:r>
        <w:rPr>
          <w:sz w:val="24"/>
        </w:rPr>
        <w:t>1</w:t>
      </w:r>
      <w:r>
        <w:rPr>
          <w:rFonts w:hAnsi="宋体"/>
          <w:sz w:val="24"/>
        </w:rPr>
        <w:t>）谈判文件中要求必备的证件未能提供；</w:t>
      </w:r>
    </w:p>
    <w:p w14:paraId="2D465D98">
      <w:pPr>
        <w:spacing w:line="360" w:lineRule="auto"/>
        <w:ind w:left="0" w:leftChars="0" w:firstLine="480" w:firstLineChars="200"/>
        <w:rPr>
          <w:sz w:val="24"/>
        </w:rPr>
      </w:pPr>
      <w:r>
        <w:rPr>
          <w:rFonts w:hAnsi="宋体"/>
          <w:sz w:val="24"/>
        </w:rPr>
        <w:t>（</w:t>
      </w:r>
      <w:r>
        <w:rPr>
          <w:sz w:val="24"/>
        </w:rPr>
        <w:t>2</w:t>
      </w:r>
      <w:r>
        <w:rPr>
          <w:rFonts w:hAnsi="宋体"/>
          <w:sz w:val="24"/>
        </w:rPr>
        <w:t>）不能达到谈判文件</w:t>
      </w:r>
      <w:r>
        <w:rPr>
          <w:rFonts w:hint="eastAsia" w:hAnsi="宋体"/>
          <w:sz w:val="24"/>
        </w:rPr>
        <w:t>供应商</w:t>
      </w:r>
      <w:r>
        <w:rPr>
          <w:rFonts w:hAnsi="宋体"/>
          <w:sz w:val="24"/>
        </w:rPr>
        <w:t>资质要求的；</w:t>
      </w:r>
    </w:p>
    <w:p w14:paraId="135219E7">
      <w:pPr>
        <w:spacing w:line="360" w:lineRule="auto"/>
        <w:ind w:left="0" w:leftChars="0" w:firstLine="480" w:firstLineChars="200"/>
        <w:rPr>
          <w:rFonts w:hint="eastAsia" w:ascii="宋体" w:hAnsi="宋体" w:eastAsia="宋体" w:cs="宋体"/>
          <w:sz w:val="24"/>
        </w:rPr>
      </w:pPr>
      <w:r>
        <w:rPr>
          <w:rFonts w:hAnsi="宋体"/>
          <w:sz w:val="24"/>
        </w:rPr>
        <w:t>（</w:t>
      </w:r>
      <w:r>
        <w:rPr>
          <w:rFonts w:hint="eastAsia" w:hAnsi="宋体"/>
          <w:sz w:val="24"/>
        </w:rPr>
        <w:t>3</w:t>
      </w:r>
      <w:r>
        <w:rPr>
          <w:rFonts w:hAnsi="宋体"/>
          <w:sz w:val="24"/>
        </w:rPr>
        <w:t>）</w:t>
      </w:r>
      <w:r>
        <w:rPr>
          <w:rFonts w:hint="eastAsia" w:ascii="宋体" w:hAnsi="宋体" w:eastAsia="宋体" w:cs="宋体"/>
          <w:sz w:val="24"/>
        </w:rPr>
        <w:t>报价文件不完整；</w:t>
      </w:r>
    </w:p>
    <w:p w14:paraId="61E52776">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未按规定报价或最终报价超过采购预算；</w:t>
      </w:r>
    </w:p>
    <w:p w14:paraId="7538EF23">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rPr>
        <w:t>未按谈判文件要求提交报价保证金；</w:t>
      </w:r>
    </w:p>
    <w:p w14:paraId="71165D1E">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报价文件未按谈判文件要求密封、签署、装订、盖章；</w:t>
      </w:r>
    </w:p>
    <w:p w14:paraId="77EE3EDF">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报价文件载明的交货时间超过谈判文件规定的时间且不能被采购人接受；</w:t>
      </w:r>
    </w:p>
    <w:p w14:paraId="0CF7910E">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报价文件载明的服务检验标准和方法等不符合谈判文件的要求；</w:t>
      </w:r>
    </w:p>
    <w:p w14:paraId="55C256C1">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报价文件中的服务配置、技术参数明显不符合谈判文件要求；</w:t>
      </w:r>
    </w:p>
    <w:p w14:paraId="683F23C0">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响应文件</w:t>
      </w:r>
      <w:r>
        <w:rPr>
          <w:rFonts w:hint="eastAsia" w:ascii="宋体" w:hAnsi="宋体" w:eastAsia="宋体" w:cs="宋体"/>
          <w:sz w:val="24"/>
          <w:lang w:val="en-US" w:eastAsia="zh-CN"/>
        </w:rPr>
        <w:t>未实质性响应</w:t>
      </w:r>
      <w:r>
        <w:rPr>
          <w:rFonts w:hint="eastAsia" w:ascii="宋体" w:hAnsi="宋体" w:eastAsia="宋体" w:cs="宋体"/>
          <w:sz w:val="24"/>
        </w:rPr>
        <w:t>竞争性谈判文件规定的格式、内容；</w:t>
      </w:r>
    </w:p>
    <w:p w14:paraId="37EC14C6">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附有采购人不能接受的条件或不响应竞争性谈判文件规定的内容。</w:t>
      </w:r>
    </w:p>
    <w:p w14:paraId="1534C475">
      <w:pPr>
        <w:spacing w:line="360" w:lineRule="auto"/>
        <w:ind w:left="0" w:leftChars="0" w:firstLine="480" w:firstLineChars="200"/>
        <w:rPr>
          <w:sz w:val="24"/>
        </w:rPr>
      </w:pPr>
      <w:r>
        <w:rPr>
          <w:rFonts w:hint="eastAsia" w:ascii="宋体" w:hAnsi="宋体" w:eastAsia="宋体" w:cs="宋体"/>
          <w:sz w:val="24"/>
          <w:lang w:val="en-US" w:eastAsia="zh-CN"/>
        </w:rPr>
        <w:t>（12）</w:t>
      </w:r>
      <w:r>
        <w:rPr>
          <w:rFonts w:hAnsi="宋体"/>
          <w:sz w:val="24"/>
        </w:rPr>
        <w:t>法律、法规规定的其他情况。</w:t>
      </w:r>
    </w:p>
    <w:p w14:paraId="0E8417F6">
      <w:pPr>
        <w:spacing w:line="360" w:lineRule="auto"/>
        <w:ind w:left="0" w:leftChars="0" w:firstLine="480" w:firstLineChars="200"/>
        <w:rPr>
          <w:sz w:val="24"/>
        </w:rPr>
      </w:pPr>
      <w:r>
        <w:rPr>
          <w:rFonts w:hint="eastAsia"/>
          <w:sz w:val="24"/>
        </w:rPr>
        <w:t>6.1.3</w:t>
      </w:r>
      <w:r>
        <w:rPr>
          <w:sz w:val="24"/>
        </w:rPr>
        <w:t>.2</w:t>
      </w:r>
      <w:r>
        <w:rPr>
          <w:rFonts w:hAnsi="宋体"/>
          <w:sz w:val="24"/>
        </w:rPr>
        <w:t>供应商有下列情况之一者，其报价</w:t>
      </w:r>
      <w:r>
        <w:rPr>
          <w:rFonts w:hint="eastAsia" w:hAnsi="宋体"/>
          <w:sz w:val="24"/>
        </w:rPr>
        <w:t>无效</w:t>
      </w:r>
      <w:r>
        <w:rPr>
          <w:rFonts w:hAnsi="宋体"/>
          <w:sz w:val="24"/>
        </w:rPr>
        <w:t>，</w:t>
      </w:r>
      <w:r>
        <w:rPr>
          <w:rFonts w:hint="eastAsia"/>
          <w:sz w:val="24"/>
          <w:lang w:val="en-US" w:eastAsia="zh-CN"/>
        </w:rPr>
        <w:t>谈判</w:t>
      </w:r>
      <w:r>
        <w:rPr>
          <w:rFonts w:hAnsi="宋体"/>
          <w:sz w:val="24"/>
        </w:rPr>
        <w:t>保证金将被没收：</w:t>
      </w:r>
    </w:p>
    <w:p w14:paraId="6ABA19BB">
      <w:pPr>
        <w:spacing w:line="360" w:lineRule="auto"/>
        <w:ind w:left="0" w:leftChars="0" w:firstLine="480" w:firstLineChars="200"/>
        <w:rPr>
          <w:sz w:val="24"/>
        </w:rPr>
      </w:pPr>
      <w:r>
        <w:rPr>
          <w:rFonts w:hAnsi="宋体"/>
          <w:sz w:val="24"/>
        </w:rPr>
        <w:t>（</w:t>
      </w:r>
      <w:r>
        <w:rPr>
          <w:sz w:val="24"/>
        </w:rPr>
        <w:t>1</w:t>
      </w:r>
      <w:r>
        <w:rPr>
          <w:rFonts w:hAnsi="宋体"/>
          <w:sz w:val="24"/>
        </w:rPr>
        <w:t>）供应商向谈判小组、谈判工作有关的人员提供不正当利益；</w:t>
      </w:r>
    </w:p>
    <w:p w14:paraId="7F8796F3">
      <w:pPr>
        <w:spacing w:line="360" w:lineRule="auto"/>
        <w:ind w:left="0" w:leftChars="0" w:firstLine="480" w:firstLineChars="200"/>
        <w:rPr>
          <w:sz w:val="24"/>
        </w:rPr>
      </w:pPr>
      <w:r>
        <w:rPr>
          <w:rFonts w:hAnsi="宋体"/>
          <w:sz w:val="24"/>
        </w:rPr>
        <w:t>（</w:t>
      </w:r>
      <w:r>
        <w:rPr>
          <w:sz w:val="24"/>
        </w:rPr>
        <w:t>2</w:t>
      </w:r>
      <w:r>
        <w:rPr>
          <w:rFonts w:hAnsi="宋体"/>
          <w:sz w:val="24"/>
        </w:rPr>
        <w:t>）成交供应商不按谈判文件规定的要求签订合同；</w:t>
      </w:r>
    </w:p>
    <w:p w14:paraId="19C8DF99">
      <w:pPr>
        <w:spacing w:line="360" w:lineRule="auto"/>
        <w:ind w:left="0" w:leftChars="0" w:firstLine="480" w:firstLineChars="200"/>
        <w:rPr>
          <w:sz w:val="24"/>
        </w:rPr>
      </w:pPr>
      <w:r>
        <w:rPr>
          <w:rFonts w:hAnsi="宋体"/>
          <w:sz w:val="24"/>
        </w:rPr>
        <w:t>（</w:t>
      </w:r>
      <w:r>
        <w:rPr>
          <w:sz w:val="24"/>
        </w:rPr>
        <w:t>3</w:t>
      </w:r>
      <w:r>
        <w:rPr>
          <w:rFonts w:hAnsi="宋体"/>
          <w:sz w:val="24"/>
        </w:rPr>
        <w:t>）成交供应商未按规定交纳相关费用；</w:t>
      </w:r>
    </w:p>
    <w:p w14:paraId="613A7965">
      <w:pPr>
        <w:spacing w:line="360" w:lineRule="auto"/>
        <w:ind w:left="0" w:leftChars="0" w:firstLine="480" w:firstLineChars="200"/>
        <w:rPr>
          <w:sz w:val="24"/>
        </w:rPr>
      </w:pPr>
      <w:r>
        <w:rPr>
          <w:rFonts w:hAnsi="宋体"/>
          <w:sz w:val="24"/>
        </w:rPr>
        <w:t>（</w:t>
      </w:r>
      <w:r>
        <w:rPr>
          <w:sz w:val="24"/>
        </w:rPr>
        <w:t>4</w:t>
      </w:r>
      <w:r>
        <w:rPr>
          <w:rFonts w:hAnsi="宋体"/>
          <w:sz w:val="24"/>
        </w:rPr>
        <w:t>）法律、法规规定的其他情况。</w:t>
      </w:r>
    </w:p>
    <w:p w14:paraId="30430B08">
      <w:pPr>
        <w:spacing w:line="360" w:lineRule="auto"/>
        <w:ind w:left="0" w:leftChars="0" w:firstLine="480" w:firstLineChars="200"/>
        <w:rPr>
          <w:sz w:val="24"/>
        </w:rPr>
      </w:pPr>
      <w:r>
        <w:rPr>
          <w:rFonts w:hint="eastAsia"/>
          <w:sz w:val="24"/>
        </w:rPr>
        <w:t>6.1.3.</w:t>
      </w:r>
      <w:r>
        <w:rPr>
          <w:sz w:val="24"/>
        </w:rPr>
        <w:t>3</w:t>
      </w:r>
      <w:r>
        <w:rPr>
          <w:rFonts w:hAnsi="宋体"/>
          <w:sz w:val="24"/>
        </w:rPr>
        <w:t>供应商有下列情况之一者，其报价</w:t>
      </w:r>
      <w:r>
        <w:rPr>
          <w:rFonts w:hint="eastAsia" w:hAnsi="宋体"/>
          <w:sz w:val="24"/>
        </w:rPr>
        <w:t>无效</w:t>
      </w:r>
      <w:r>
        <w:rPr>
          <w:rFonts w:hAnsi="宋体"/>
          <w:sz w:val="24"/>
        </w:rPr>
        <w:t>，将取消其报价资格并负法律责任：</w:t>
      </w:r>
    </w:p>
    <w:p w14:paraId="6A07FACB">
      <w:pPr>
        <w:spacing w:line="360" w:lineRule="auto"/>
        <w:ind w:left="0" w:leftChars="0" w:firstLine="480" w:firstLineChars="200"/>
        <w:rPr>
          <w:sz w:val="24"/>
        </w:rPr>
      </w:pPr>
      <w:r>
        <w:rPr>
          <w:rFonts w:hAnsi="宋体"/>
          <w:sz w:val="24"/>
        </w:rPr>
        <w:t>（</w:t>
      </w:r>
      <w:r>
        <w:rPr>
          <w:sz w:val="24"/>
        </w:rPr>
        <w:t>1</w:t>
      </w:r>
      <w:r>
        <w:rPr>
          <w:rFonts w:hAnsi="宋体"/>
          <w:sz w:val="24"/>
        </w:rPr>
        <w:t>）供应商提供的有关资格、资质证明文件不真实，提供虚假报价材料；</w:t>
      </w:r>
    </w:p>
    <w:p w14:paraId="690D2FC8">
      <w:pPr>
        <w:spacing w:line="360" w:lineRule="auto"/>
        <w:ind w:left="0" w:leftChars="0" w:firstLine="480" w:firstLineChars="200"/>
        <w:rPr>
          <w:sz w:val="24"/>
        </w:rPr>
      </w:pPr>
      <w:r>
        <w:rPr>
          <w:rFonts w:hAnsi="宋体"/>
          <w:sz w:val="24"/>
        </w:rPr>
        <w:t>（</w:t>
      </w:r>
      <w:r>
        <w:rPr>
          <w:sz w:val="24"/>
        </w:rPr>
        <w:t>2</w:t>
      </w:r>
      <w:r>
        <w:rPr>
          <w:rFonts w:hAnsi="宋体"/>
          <w:sz w:val="24"/>
        </w:rPr>
        <w:t>）供应商在报价有效期内撤回报价；</w:t>
      </w:r>
    </w:p>
    <w:p w14:paraId="1BD76869">
      <w:pPr>
        <w:spacing w:line="360" w:lineRule="auto"/>
        <w:ind w:left="0" w:leftChars="0" w:firstLine="480" w:firstLineChars="200"/>
        <w:rPr>
          <w:sz w:val="24"/>
        </w:rPr>
      </w:pPr>
      <w:r>
        <w:rPr>
          <w:rFonts w:hAnsi="宋体"/>
          <w:sz w:val="24"/>
        </w:rPr>
        <w:t>（</w:t>
      </w:r>
      <w:r>
        <w:rPr>
          <w:sz w:val="24"/>
        </w:rPr>
        <w:t>3</w:t>
      </w:r>
      <w:r>
        <w:rPr>
          <w:rFonts w:hAnsi="宋体"/>
          <w:sz w:val="24"/>
        </w:rPr>
        <w:t>）在整个谈判过程中，供应商有企图影响谈判结果的任何不当活动；</w:t>
      </w:r>
    </w:p>
    <w:p w14:paraId="7609C359">
      <w:pPr>
        <w:spacing w:line="360" w:lineRule="auto"/>
        <w:ind w:left="0" w:leftChars="0" w:firstLine="480" w:firstLineChars="200"/>
        <w:rPr>
          <w:sz w:val="24"/>
        </w:rPr>
      </w:pPr>
      <w:r>
        <w:rPr>
          <w:rFonts w:hAnsi="宋体"/>
          <w:sz w:val="24"/>
        </w:rPr>
        <w:t>（</w:t>
      </w:r>
      <w:r>
        <w:rPr>
          <w:sz w:val="24"/>
        </w:rPr>
        <w:t>4</w:t>
      </w:r>
      <w:r>
        <w:rPr>
          <w:rFonts w:hAnsi="宋体"/>
          <w:sz w:val="24"/>
        </w:rPr>
        <w:t>）供应商串通报价或采用不正当竞争方式；</w:t>
      </w:r>
    </w:p>
    <w:p w14:paraId="7348CC8D">
      <w:pPr>
        <w:spacing w:line="360" w:lineRule="auto"/>
        <w:ind w:left="0" w:leftChars="0" w:firstLine="480" w:firstLineChars="200"/>
        <w:rPr>
          <w:sz w:val="24"/>
        </w:rPr>
      </w:pPr>
      <w:r>
        <w:rPr>
          <w:rFonts w:hAnsi="宋体"/>
          <w:sz w:val="24"/>
        </w:rPr>
        <w:t>（</w:t>
      </w:r>
      <w:r>
        <w:rPr>
          <w:sz w:val="24"/>
        </w:rPr>
        <w:t>5</w:t>
      </w:r>
      <w:r>
        <w:rPr>
          <w:rFonts w:hAnsi="宋体"/>
          <w:sz w:val="24"/>
        </w:rPr>
        <w:t>）供应商以任何方式诋毁其他供应商；</w:t>
      </w:r>
    </w:p>
    <w:p w14:paraId="7C904856">
      <w:pPr>
        <w:spacing w:line="360" w:lineRule="auto"/>
        <w:ind w:left="0" w:leftChars="0" w:firstLine="480" w:firstLineChars="200"/>
        <w:rPr>
          <w:sz w:val="24"/>
        </w:rPr>
      </w:pPr>
      <w:r>
        <w:rPr>
          <w:rFonts w:hAnsi="宋体"/>
          <w:sz w:val="24"/>
        </w:rPr>
        <w:t>（</w:t>
      </w:r>
      <w:r>
        <w:rPr>
          <w:sz w:val="24"/>
        </w:rPr>
        <w:t>6</w:t>
      </w:r>
      <w:r>
        <w:rPr>
          <w:rFonts w:hAnsi="宋体"/>
          <w:sz w:val="24"/>
        </w:rPr>
        <w:t>）法律、法规规定的其他情况。</w:t>
      </w:r>
    </w:p>
    <w:p w14:paraId="7999BABD">
      <w:pPr>
        <w:spacing w:line="360" w:lineRule="auto"/>
        <w:ind w:left="0" w:leftChars="0" w:firstLine="480" w:firstLineChars="200"/>
        <w:rPr>
          <w:rFonts w:hint="eastAsia" w:hAnsi="宋体"/>
          <w:sz w:val="24"/>
        </w:rPr>
      </w:pPr>
      <w:r>
        <w:rPr>
          <w:rFonts w:hAnsi="宋体"/>
          <w:sz w:val="24"/>
        </w:rPr>
        <w:t>供应商有上述行为之一的，采购人将严格依照有关法律、法规及规章的规定行使其权利。供应商给采购人造成损失的，采购人有索赔的权利，供应商应予以赔偿。</w:t>
      </w:r>
    </w:p>
    <w:p w14:paraId="3ADD60E7">
      <w:pPr>
        <w:spacing w:line="360" w:lineRule="auto"/>
        <w:ind w:left="0" w:leftChars="0" w:firstLine="480" w:firstLineChars="200"/>
        <w:rPr>
          <w:rFonts w:hAnsi="宋体"/>
          <w:sz w:val="24"/>
        </w:rPr>
      </w:pPr>
      <w:r>
        <w:rPr>
          <w:rFonts w:hint="eastAsia"/>
          <w:sz w:val="24"/>
        </w:rPr>
        <w:t>6</w:t>
      </w:r>
      <w:r>
        <w:rPr>
          <w:sz w:val="24"/>
        </w:rPr>
        <w:t>.</w:t>
      </w:r>
      <w:r>
        <w:rPr>
          <w:rFonts w:hint="eastAsia"/>
          <w:sz w:val="24"/>
        </w:rPr>
        <w:t>1.4</w:t>
      </w:r>
      <w:r>
        <w:rPr>
          <w:rFonts w:hAnsi="宋体"/>
          <w:sz w:val="24"/>
        </w:rPr>
        <w:t>响应文件计算错误的修正</w:t>
      </w:r>
    </w:p>
    <w:p w14:paraId="0EFF225F">
      <w:pPr>
        <w:spacing w:line="360" w:lineRule="auto"/>
        <w:ind w:left="0" w:leftChars="0" w:firstLine="480" w:firstLineChars="200"/>
        <w:rPr>
          <w:sz w:val="24"/>
        </w:rPr>
      </w:pPr>
      <w:r>
        <w:rPr>
          <w:rFonts w:hint="eastAsia"/>
          <w:sz w:val="24"/>
        </w:rPr>
        <w:t>6.1</w:t>
      </w:r>
      <w:r>
        <w:rPr>
          <w:sz w:val="24"/>
        </w:rPr>
        <w:t>.</w:t>
      </w:r>
      <w:r>
        <w:rPr>
          <w:rFonts w:hint="eastAsia"/>
          <w:sz w:val="24"/>
        </w:rPr>
        <w:t>4.1</w:t>
      </w:r>
      <w:r>
        <w:rPr>
          <w:rFonts w:hAnsi="宋体"/>
          <w:sz w:val="24"/>
        </w:rPr>
        <w:t>谈判小组将对确定为实质上响应竞争性谈判文件要求的响应文件进行校核，看其是否有计算或表达上的错误，修正错误的原则如下：</w:t>
      </w:r>
    </w:p>
    <w:p w14:paraId="33B2DB54">
      <w:pPr>
        <w:spacing w:line="360" w:lineRule="auto"/>
        <w:ind w:left="0" w:leftChars="0" w:firstLine="480" w:firstLineChars="200"/>
        <w:rPr>
          <w:sz w:val="24"/>
        </w:rPr>
      </w:pPr>
      <w:r>
        <w:rPr>
          <w:rFonts w:hAnsi="宋体"/>
          <w:sz w:val="24"/>
        </w:rPr>
        <w:t>（</w:t>
      </w:r>
      <w:r>
        <w:rPr>
          <w:sz w:val="24"/>
        </w:rPr>
        <w:t>1</w:t>
      </w:r>
      <w:r>
        <w:rPr>
          <w:rFonts w:hAnsi="宋体"/>
          <w:sz w:val="24"/>
        </w:rPr>
        <w:t>）如果数字表示的金额和用文字表示的金额不一致时，应以文字表示的金额为准；</w:t>
      </w:r>
    </w:p>
    <w:p w14:paraId="26E8D4D4">
      <w:pPr>
        <w:spacing w:line="360" w:lineRule="auto"/>
        <w:ind w:left="0" w:leftChars="0" w:firstLine="480" w:firstLineChars="200"/>
        <w:rPr>
          <w:sz w:val="24"/>
        </w:rPr>
      </w:pPr>
      <w:r>
        <w:rPr>
          <w:rFonts w:hAnsi="宋体"/>
          <w:sz w:val="24"/>
        </w:rPr>
        <w:t>（</w:t>
      </w:r>
      <w:r>
        <w:rPr>
          <w:sz w:val="24"/>
        </w:rPr>
        <w:t>2</w:t>
      </w:r>
      <w:r>
        <w:rPr>
          <w:rFonts w:hAnsi="宋体"/>
          <w:sz w:val="24"/>
        </w:rPr>
        <w:t>）当单价与数量的乘积与合价不一致时，以单价为准，除非谈判小组认为单价有明显的小数点错误，此时应以标出的合价为准，并修改单价。</w:t>
      </w:r>
    </w:p>
    <w:p w14:paraId="16C56760">
      <w:pPr>
        <w:spacing w:line="360" w:lineRule="auto"/>
        <w:ind w:left="0" w:leftChars="0" w:firstLine="480" w:firstLineChars="200"/>
        <w:rPr>
          <w:sz w:val="24"/>
        </w:rPr>
      </w:pPr>
      <w:r>
        <w:rPr>
          <w:rFonts w:hint="eastAsia"/>
          <w:sz w:val="24"/>
        </w:rPr>
        <w:t>6</w:t>
      </w:r>
      <w:r>
        <w:rPr>
          <w:sz w:val="24"/>
        </w:rPr>
        <w:t>.</w:t>
      </w:r>
      <w:r>
        <w:rPr>
          <w:rFonts w:hint="eastAsia"/>
          <w:sz w:val="24"/>
        </w:rPr>
        <w:t>1</w:t>
      </w:r>
      <w:r>
        <w:rPr>
          <w:sz w:val="24"/>
        </w:rPr>
        <w:t>.</w:t>
      </w:r>
      <w:r>
        <w:rPr>
          <w:rFonts w:hint="eastAsia"/>
          <w:sz w:val="24"/>
        </w:rPr>
        <w:t>4.2</w:t>
      </w:r>
      <w:r>
        <w:rPr>
          <w:rFonts w:hAnsi="宋体"/>
          <w:sz w:val="24"/>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4AA26B6E">
      <w:pPr>
        <w:spacing w:line="360" w:lineRule="auto"/>
        <w:ind w:left="0" w:leftChars="0" w:firstLine="480" w:firstLineChars="200"/>
        <w:rPr>
          <w:sz w:val="24"/>
        </w:rPr>
      </w:pPr>
      <w:r>
        <w:rPr>
          <w:rFonts w:hint="eastAsia"/>
          <w:sz w:val="24"/>
        </w:rPr>
        <w:t>6.1.5</w:t>
      </w:r>
      <w:r>
        <w:rPr>
          <w:rFonts w:hAnsi="宋体"/>
          <w:sz w:val="24"/>
        </w:rPr>
        <w:t>谈判</w:t>
      </w:r>
    </w:p>
    <w:p w14:paraId="088799C5">
      <w:pPr>
        <w:spacing w:line="360" w:lineRule="auto"/>
        <w:ind w:left="0" w:leftChars="0" w:firstLine="480" w:firstLineChars="200"/>
        <w:rPr>
          <w:sz w:val="24"/>
        </w:rPr>
      </w:pPr>
      <w:r>
        <w:rPr>
          <w:rFonts w:hAnsi="宋体"/>
          <w:sz w:val="24"/>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25334277">
      <w:pPr>
        <w:spacing w:line="360" w:lineRule="auto"/>
        <w:ind w:left="0" w:leftChars="0" w:firstLine="480" w:firstLineChars="200"/>
        <w:rPr>
          <w:sz w:val="24"/>
        </w:rPr>
      </w:pPr>
      <w:r>
        <w:rPr>
          <w:rFonts w:hint="eastAsia"/>
          <w:sz w:val="24"/>
        </w:rPr>
        <w:t>6.1.6</w:t>
      </w:r>
      <w:r>
        <w:rPr>
          <w:rFonts w:hAnsi="宋体"/>
          <w:sz w:val="24"/>
        </w:rPr>
        <w:t>最终报价</w:t>
      </w:r>
    </w:p>
    <w:p w14:paraId="22924924">
      <w:pPr>
        <w:spacing w:line="360" w:lineRule="auto"/>
        <w:ind w:left="0" w:leftChars="0" w:firstLine="480" w:firstLineChars="200"/>
        <w:rPr>
          <w:rFonts w:hint="eastAsia" w:ascii="宋体" w:hAnsi="宋体"/>
          <w:sz w:val="24"/>
          <w:highlight w:val="none"/>
        </w:rPr>
      </w:pPr>
      <w:r>
        <w:rPr>
          <w:rFonts w:hint="eastAsia" w:hAnsi="宋体"/>
          <w:sz w:val="24"/>
        </w:rPr>
        <w:t>谈判小组所有成员集中与单一供应商分别进行谈判</w:t>
      </w:r>
      <w:r>
        <w:rPr>
          <w:rFonts w:hAnsi="宋体"/>
          <w:sz w:val="24"/>
        </w:rPr>
        <w:t>，各供应商最终报价函必须经授权代</w:t>
      </w:r>
      <w:r>
        <w:rPr>
          <w:rFonts w:hAnsi="宋体"/>
          <w:sz w:val="24"/>
          <w:highlight w:val="none"/>
        </w:rPr>
        <w:t>表签字且按指定时间同时送达谈判小组，否则仍按原报价进行评审。</w:t>
      </w:r>
      <w:r>
        <w:rPr>
          <w:rFonts w:hint="eastAsia" w:hAnsi="宋体"/>
          <w:b/>
          <w:sz w:val="24"/>
          <w:highlight w:val="none"/>
        </w:rPr>
        <w:t>多次报价中的优惠均有效，</w:t>
      </w:r>
      <w:r>
        <w:rPr>
          <w:rFonts w:hint="eastAsia" w:ascii="宋体" w:hAnsi="宋体" w:eastAsia="宋体" w:cs="Times New Roman"/>
          <w:sz w:val="24"/>
          <w:highlight w:val="none"/>
          <w:lang w:val="en-US" w:eastAsia="zh-CN"/>
        </w:rPr>
        <w:t>评审人员根据评分表内容对各个</w:t>
      </w:r>
      <w:r>
        <w:rPr>
          <w:rFonts w:hint="eastAsia" w:ascii="宋体" w:hAnsi="宋体" w:eastAsia="宋体" w:cs="Times New Roman"/>
          <w:sz w:val="24"/>
          <w:highlight w:val="none"/>
        </w:rPr>
        <w:t>供应商</w:t>
      </w:r>
      <w:r>
        <w:rPr>
          <w:rFonts w:hint="eastAsia" w:ascii="宋体" w:hAnsi="宋体" w:eastAsia="宋体" w:cs="Times New Roman"/>
          <w:sz w:val="24"/>
          <w:highlight w:val="none"/>
          <w:lang w:val="en-US" w:eastAsia="zh-CN"/>
        </w:rPr>
        <w:t>进行打分，按照综合得分</w:t>
      </w:r>
      <w:r>
        <w:rPr>
          <w:rFonts w:hint="eastAsia" w:ascii="宋体" w:hAnsi="宋体"/>
          <w:sz w:val="24"/>
          <w:highlight w:val="none"/>
        </w:rPr>
        <w:t>由</w:t>
      </w:r>
      <w:r>
        <w:rPr>
          <w:rFonts w:hint="eastAsia" w:ascii="宋体" w:hAnsi="宋体"/>
          <w:sz w:val="24"/>
          <w:highlight w:val="none"/>
          <w:lang w:val="en-US" w:eastAsia="zh-CN"/>
        </w:rPr>
        <w:t>高</w:t>
      </w:r>
      <w:r>
        <w:rPr>
          <w:rFonts w:hint="eastAsia" w:ascii="宋体" w:hAnsi="宋体"/>
          <w:sz w:val="24"/>
          <w:highlight w:val="none"/>
        </w:rPr>
        <w:t>到</w:t>
      </w:r>
      <w:r>
        <w:rPr>
          <w:rFonts w:hint="eastAsia" w:ascii="宋体" w:hAnsi="宋体"/>
          <w:sz w:val="24"/>
          <w:highlight w:val="none"/>
          <w:lang w:val="en-US" w:eastAsia="zh-CN"/>
        </w:rPr>
        <w:t>低</w:t>
      </w:r>
      <w:r>
        <w:rPr>
          <w:rFonts w:hint="eastAsia" w:ascii="宋体" w:hAnsi="宋体"/>
          <w:sz w:val="24"/>
          <w:highlight w:val="none"/>
        </w:rPr>
        <w:t>的顺序推荐</w:t>
      </w:r>
      <w:r>
        <w:rPr>
          <w:rFonts w:hint="eastAsia"/>
          <w:sz w:val="24"/>
          <w:highlight w:val="none"/>
          <w:lang w:val="en-US" w:eastAsia="zh-CN"/>
        </w:rPr>
        <w:t>2</w:t>
      </w:r>
      <w:r>
        <w:rPr>
          <w:rFonts w:hint="eastAsia" w:ascii="宋体" w:hAnsi="宋体"/>
          <w:sz w:val="24"/>
          <w:highlight w:val="none"/>
        </w:rPr>
        <w:t>名成交候选人。</w:t>
      </w:r>
    </w:p>
    <w:p w14:paraId="5D3C6A20">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采购人从评审报告提出的成交候选人中，根据质量和服务均能满足谈判文件实质性响应要求且</w:t>
      </w:r>
      <w:r>
        <w:rPr>
          <w:rFonts w:hint="eastAsia" w:ascii="宋体" w:hAnsi="宋体"/>
          <w:sz w:val="24"/>
          <w:highlight w:val="none"/>
          <w:lang w:val="en-US" w:eastAsia="zh-CN"/>
        </w:rPr>
        <w:t>综合得分最高</w:t>
      </w:r>
      <w:r>
        <w:rPr>
          <w:rFonts w:hint="eastAsia" w:ascii="宋体" w:hAnsi="宋体"/>
          <w:sz w:val="24"/>
          <w:highlight w:val="none"/>
        </w:rPr>
        <w:t>的原则确定成交供应商。</w:t>
      </w:r>
    </w:p>
    <w:p w14:paraId="4141C13B">
      <w:pPr>
        <w:spacing w:line="360" w:lineRule="auto"/>
        <w:ind w:left="0" w:leftChars="0" w:firstLine="480" w:firstLineChars="200"/>
        <w:rPr>
          <w:rFonts w:hint="eastAsia" w:ascii="宋体" w:hAnsi="宋体"/>
          <w:sz w:val="24"/>
        </w:rPr>
      </w:pPr>
      <w:r>
        <w:rPr>
          <w:rFonts w:hint="eastAsia" w:ascii="宋体" w:hAnsi="宋体"/>
          <w:sz w:val="24"/>
          <w:highlight w:val="none"/>
        </w:rPr>
        <w:t>当确定的成交供应商放弃成交或者因不可抗力提出不能履行</w:t>
      </w:r>
      <w:r>
        <w:rPr>
          <w:rFonts w:hint="eastAsia" w:ascii="宋体" w:hAnsi="宋体"/>
          <w:sz w:val="24"/>
        </w:rPr>
        <w:t>合同时，采购人有权将合同授予报价排名第二的成交(候选)供应商，或重新采购。</w:t>
      </w:r>
    </w:p>
    <w:p w14:paraId="20A0678D">
      <w:pPr>
        <w:spacing w:line="360" w:lineRule="auto"/>
        <w:ind w:left="0" w:leftChars="0" w:firstLine="480" w:firstLineChars="200"/>
        <w:rPr>
          <w:rFonts w:hint="eastAsia"/>
          <w:sz w:val="24"/>
        </w:rPr>
      </w:pPr>
      <w:r>
        <w:rPr>
          <w:rFonts w:hint="eastAsia"/>
          <w:sz w:val="24"/>
        </w:rPr>
        <w:t>6.2、谈判小组经评审，认为所有报价都不符合竞争性谈判文件的要求的，可以否决所有报价，采购人将依法重新组织采购。</w:t>
      </w:r>
    </w:p>
    <w:p w14:paraId="5B07D5AC">
      <w:pPr>
        <w:pStyle w:val="13"/>
        <w:rPr>
          <w:rStyle w:val="20"/>
          <w:b w:val="0"/>
          <w:bCs w:val="0"/>
        </w:rPr>
      </w:pPr>
      <w:r>
        <w:rPr>
          <w:rStyle w:val="20"/>
          <w:rFonts w:hint="eastAsia"/>
          <w:b w:val="0"/>
          <w:bCs w:val="0"/>
        </w:rPr>
        <w:t>7.合同授予</w:t>
      </w:r>
      <w:bookmarkEnd w:id="71"/>
      <w:bookmarkEnd w:id="72"/>
    </w:p>
    <w:p w14:paraId="18D6A8CB">
      <w:pPr>
        <w:pStyle w:val="18"/>
      </w:pPr>
      <w:bookmarkStart w:id="73" w:name="_Toc506105855"/>
      <w:bookmarkStart w:id="74" w:name="_Toc507936047"/>
      <w:r>
        <w:rPr>
          <w:rFonts w:hint="eastAsia"/>
        </w:rPr>
        <w:t>7.1</w:t>
      </w:r>
      <w:r>
        <w:rPr>
          <w:rFonts w:hint="eastAsia"/>
          <w:lang w:val="en-US" w:eastAsia="zh-CN"/>
        </w:rPr>
        <w:t>成交</w:t>
      </w:r>
      <w:r>
        <w:rPr>
          <w:rFonts w:hint="eastAsia"/>
        </w:rPr>
        <w:t>方式</w:t>
      </w:r>
      <w:bookmarkEnd w:id="73"/>
      <w:bookmarkEnd w:id="74"/>
    </w:p>
    <w:p w14:paraId="33E77487">
      <w:pPr>
        <w:spacing w:line="360" w:lineRule="auto"/>
        <w:ind w:firstLine="480"/>
        <w:jc w:val="left"/>
        <w:rPr>
          <w:rFonts w:ascii="宋体" w:hAnsi="宋体" w:cs="仿宋"/>
          <w:sz w:val="24"/>
        </w:rPr>
      </w:pPr>
      <w:r>
        <w:rPr>
          <w:rFonts w:hint="eastAsia" w:cs="仿宋"/>
          <w:sz w:val="24"/>
          <w:lang w:val="en-US" w:eastAsia="zh-CN"/>
        </w:rPr>
        <w:t>采购</w:t>
      </w:r>
      <w:r>
        <w:rPr>
          <w:rFonts w:hint="eastAsia" w:ascii="宋体" w:hAnsi="宋体" w:cs="仿宋"/>
          <w:sz w:val="24"/>
        </w:rPr>
        <w:t>人根据评</w:t>
      </w:r>
      <w:r>
        <w:rPr>
          <w:rFonts w:hint="eastAsia" w:cs="仿宋"/>
          <w:sz w:val="24"/>
          <w:lang w:val="en-US" w:eastAsia="zh-CN"/>
        </w:rPr>
        <w:t>审</w:t>
      </w:r>
      <w:r>
        <w:rPr>
          <w:rFonts w:hint="eastAsia" w:ascii="宋体" w:hAnsi="宋体" w:cs="仿宋"/>
          <w:sz w:val="24"/>
        </w:rPr>
        <w:t>报告中推荐的</w:t>
      </w:r>
      <w:r>
        <w:rPr>
          <w:rFonts w:hint="eastAsia" w:cs="仿宋"/>
          <w:sz w:val="24"/>
          <w:lang w:val="en-US" w:eastAsia="zh-CN"/>
        </w:rPr>
        <w:t>成交</w:t>
      </w:r>
      <w:r>
        <w:rPr>
          <w:rFonts w:hint="eastAsia" w:ascii="宋体" w:hAnsi="宋体" w:cs="仿宋"/>
          <w:sz w:val="24"/>
        </w:rPr>
        <w:t>人候选人择优选定</w:t>
      </w:r>
      <w:r>
        <w:rPr>
          <w:rFonts w:hint="eastAsia" w:cs="仿宋"/>
          <w:sz w:val="24"/>
          <w:lang w:val="en-US" w:eastAsia="zh-CN"/>
        </w:rPr>
        <w:t>成交</w:t>
      </w:r>
      <w:r>
        <w:rPr>
          <w:rFonts w:hint="eastAsia" w:ascii="宋体" w:hAnsi="宋体" w:cs="仿宋"/>
          <w:sz w:val="24"/>
        </w:rPr>
        <w:t>人。</w:t>
      </w:r>
    </w:p>
    <w:p w14:paraId="6D708CAB">
      <w:pPr>
        <w:pStyle w:val="18"/>
      </w:pPr>
      <w:bookmarkStart w:id="75" w:name="_Toc507936048"/>
      <w:bookmarkStart w:id="76" w:name="_Toc506105856"/>
      <w:r>
        <w:rPr>
          <w:rFonts w:hint="eastAsia"/>
        </w:rPr>
        <w:t>7.2</w:t>
      </w:r>
      <w:r>
        <w:rPr>
          <w:rFonts w:hint="eastAsia"/>
          <w:lang w:val="en-US" w:eastAsia="zh-CN"/>
        </w:rPr>
        <w:t>成交</w:t>
      </w:r>
      <w:r>
        <w:rPr>
          <w:rFonts w:hint="eastAsia"/>
        </w:rPr>
        <w:t>通知</w:t>
      </w:r>
      <w:bookmarkEnd w:id="75"/>
      <w:bookmarkEnd w:id="76"/>
    </w:p>
    <w:p w14:paraId="4C33F89C">
      <w:pPr>
        <w:spacing w:line="360" w:lineRule="auto"/>
        <w:ind w:firstLine="480" w:firstLineChars="200"/>
        <w:rPr>
          <w:rFonts w:ascii="宋体" w:hAnsi="宋体" w:cs="仿宋"/>
          <w:sz w:val="24"/>
        </w:rPr>
      </w:pPr>
      <w:bookmarkStart w:id="77" w:name="_Toc507936049"/>
      <w:bookmarkStart w:id="78" w:name="_Toc506105857"/>
      <w:r>
        <w:rPr>
          <w:rFonts w:hint="eastAsia" w:cs="仿宋"/>
          <w:sz w:val="24"/>
          <w:lang w:val="en-US" w:eastAsia="zh-CN"/>
        </w:rPr>
        <w:t>成交</w:t>
      </w:r>
      <w:r>
        <w:rPr>
          <w:rFonts w:hint="eastAsia" w:ascii="宋体" w:hAnsi="宋体" w:cs="仿宋"/>
          <w:sz w:val="24"/>
        </w:rPr>
        <w:t>结果通过</w:t>
      </w:r>
      <w:r>
        <w:rPr>
          <w:rFonts w:hint="eastAsia" w:eastAsia="宋体" w:cs="宋体"/>
          <w:sz w:val="24"/>
          <w:lang w:val="en-US" w:eastAsia="zh-CN"/>
        </w:rPr>
        <w:t>济钢集团有限公司阳光购销平台</w:t>
      </w:r>
      <w:r>
        <w:rPr>
          <w:rFonts w:hint="eastAsia" w:ascii="宋体" w:hAnsi="宋体" w:cs="仿宋"/>
          <w:sz w:val="24"/>
        </w:rPr>
        <w:t>公示。公示期结束后，</w:t>
      </w:r>
      <w:r>
        <w:rPr>
          <w:rFonts w:hint="eastAsia" w:cs="仿宋"/>
          <w:sz w:val="24"/>
          <w:lang w:val="en-US" w:eastAsia="zh-CN"/>
        </w:rPr>
        <w:t>采购</w:t>
      </w:r>
      <w:r>
        <w:rPr>
          <w:rFonts w:hint="eastAsia" w:ascii="宋体" w:hAnsi="宋体" w:cs="仿宋"/>
          <w:sz w:val="24"/>
        </w:rPr>
        <w:t>人以书面形式向</w:t>
      </w:r>
      <w:r>
        <w:rPr>
          <w:rFonts w:hint="eastAsia" w:cs="仿宋"/>
          <w:sz w:val="24"/>
          <w:lang w:val="en-US" w:eastAsia="zh-CN"/>
        </w:rPr>
        <w:t>成交</w:t>
      </w:r>
      <w:r>
        <w:rPr>
          <w:rFonts w:hint="eastAsia" w:ascii="宋体" w:hAnsi="宋体" w:cs="仿宋"/>
          <w:sz w:val="24"/>
        </w:rPr>
        <w:t>人发出</w:t>
      </w:r>
      <w:r>
        <w:rPr>
          <w:rFonts w:hint="eastAsia" w:cs="仿宋"/>
          <w:sz w:val="24"/>
          <w:lang w:val="en-US" w:eastAsia="zh-CN"/>
        </w:rPr>
        <w:t>成交</w:t>
      </w:r>
      <w:r>
        <w:rPr>
          <w:rFonts w:hint="eastAsia" w:ascii="宋体" w:hAnsi="宋体" w:cs="仿宋"/>
          <w:sz w:val="24"/>
        </w:rPr>
        <w:t>通知书</w:t>
      </w:r>
    </w:p>
    <w:p w14:paraId="19E1A7F6">
      <w:pPr>
        <w:pStyle w:val="18"/>
      </w:pPr>
      <w:r>
        <w:rPr>
          <w:rFonts w:hint="eastAsia"/>
        </w:rPr>
        <w:t>7.3履约担保</w:t>
      </w:r>
      <w:bookmarkEnd w:id="77"/>
      <w:bookmarkEnd w:id="78"/>
    </w:p>
    <w:p w14:paraId="065ACD18">
      <w:pPr>
        <w:spacing w:line="360" w:lineRule="auto"/>
        <w:ind w:firstLine="480" w:firstLineChars="200"/>
        <w:rPr>
          <w:rFonts w:ascii="宋体" w:hAnsi="宋体" w:cs="仿宋"/>
          <w:sz w:val="24"/>
        </w:rPr>
      </w:pPr>
      <w:r>
        <w:rPr>
          <w:rFonts w:hint="eastAsia" w:ascii="宋体" w:hAnsi="宋体" w:cs="仿宋"/>
          <w:sz w:val="24"/>
        </w:rPr>
        <w:t>7.</w:t>
      </w:r>
      <w:r>
        <w:rPr>
          <w:rFonts w:hint="eastAsia" w:cs="仿宋"/>
          <w:sz w:val="24"/>
          <w:lang w:val="en-US" w:eastAsia="zh-CN"/>
        </w:rPr>
        <w:t>3</w:t>
      </w:r>
      <w:r>
        <w:rPr>
          <w:rFonts w:hint="eastAsia" w:ascii="宋体" w:hAnsi="宋体" w:cs="仿宋"/>
          <w:sz w:val="24"/>
        </w:rPr>
        <w:t>.1 签订合同前，</w:t>
      </w:r>
      <w:r>
        <w:rPr>
          <w:rFonts w:hint="eastAsia" w:cs="仿宋"/>
          <w:sz w:val="24"/>
          <w:lang w:val="en-US" w:eastAsia="zh-CN"/>
        </w:rPr>
        <w:t>成交</w:t>
      </w:r>
      <w:r>
        <w:rPr>
          <w:rFonts w:hint="eastAsia" w:ascii="宋体" w:hAnsi="宋体" w:cs="仿宋"/>
          <w:sz w:val="24"/>
        </w:rPr>
        <w:t>人应按</w:t>
      </w:r>
      <w:r>
        <w:rPr>
          <w:rFonts w:hint="eastAsia" w:cs="仿宋"/>
          <w:sz w:val="24"/>
          <w:lang w:val="en-US" w:eastAsia="zh-CN"/>
        </w:rPr>
        <w:t>谈判</w:t>
      </w:r>
      <w:r>
        <w:rPr>
          <w:rFonts w:hint="eastAsia" w:ascii="宋体" w:hAnsi="宋体" w:cs="仿宋"/>
          <w:sz w:val="24"/>
        </w:rPr>
        <w:t>须知前附表规定向</w:t>
      </w:r>
      <w:r>
        <w:rPr>
          <w:rFonts w:hint="eastAsia" w:cs="仿宋"/>
          <w:sz w:val="24"/>
          <w:lang w:val="en-US" w:eastAsia="zh-CN"/>
        </w:rPr>
        <w:t>采购</w:t>
      </w:r>
      <w:r>
        <w:rPr>
          <w:rFonts w:hint="eastAsia" w:ascii="宋体" w:hAnsi="宋体" w:cs="仿宋"/>
          <w:sz w:val="24"/>
        </w:rPr>
        <w:t>人提交履约担保。</w:t>
      </w:r>
    </w:p>
    <w:p w14:paraId="569CC2B5">
      <w:pPr>
        <w:spacing w:line="360" w:lineRule="auto"/>
        <w:ind w:firstLine="480" w:firstLineChars="200"/>
        <w:rPr>
          <w:rFonts w:hint="eastAsia" w:ascii="宋体" w:hAnsi="宋体" w:cs="仿宋"/>
          <w:bCs/>
          <w:sz w:val="24"/>
        </w:rPr>
      </w:pPr>
      <w:r>
        <w:rPr>
          <w:rFonts w:hint="eastAsia" w:ascii="宋体" w:hAnsi="宋体" w:cs="仿宋"/>
          <w:bCs/>
          <w:sz w:val="24"/>
        </w:rPr>
        <w:t>7.</w:t>
      </w:r>
      <w:r>
        <w:rPr>
          <w:rFonts w:hint="eastAsia" w:cs="仿宋"/>
          <w:bCs/>
          <w:sz w:val="24"/>
          <w:lang w:val="en-US" w:eastAsia="zh-CN"/>
        </w:rPr>
        <w:t>3</w:t>
      </w:r>
      <w:r>
        <w:rPr>
          <w:rFonts w:hint="eastAsia" w:ascii="宋体" w:hAnsi="宋体" w:cs="仿宋"/>
          <w:bCs/>
          <w:sz w:val="24"/>
        </w:rPr>
        <w:t xml:space="preserve">.2 </w:t>
      </w:r>
      <w:r>
        <w:rPr>
          <w:rFonts w:hint="eastAsia" w:cs="仿宋"/>
          <w:sz w:val="24"/>
          <w:lang w:val="en-US" w:eastAsia="zh-CN"/>
        </w:rPr>
        <w:t>成交</w:t>
      </w:r>
      <w:r>
        <w:rPr>
          <w:rFonts w:hint="eastAsia" w:ascii="宋体" w:hAnsi="宋体" w:cs="仿宋"/>
          <w:bCs/>
          <w:sz w:val="24"/>
        </w:rPr>
        <w:t>人不能按</w:t>
      </w:r>
      <w:r>
        <w:rPr>
          <w:rFonts w:hint="eastAsia" w:cs="仿宋"/>
          <w:sz w:val="24"/>
          <w:lang w:val="en-US" w:eastAsia="zh-CN"/>
        </w:rPr>
        <w:t>谈判邀请书</w:t>
      </w:r>
      <w:r>
        <w:rPr>
          <w:rFonts w:hint="eastAsia" w:ascii="宋体" w:hAnsi="宋体" w:cs="仿宋"/>
          <w:sz w:val="24"/>
        </w:rPr>
        <w:t>规定</w:t>
      </w:r>
      <w:r>
        <w:rPr>
          <w:rFonts w:hint="eastAsia" w:ascii="宋体" w:hAnsi="宋体" w:cs="仿宋"/>
          <w:bCs/>
          <w:sz w:val="24"/>
        </w:rPr>
        <w:t>要求提交履约担保的，视为放弃</w:t>
      </w:r>
      <w:r>
        <w:rPr>
          <w:rFonts w:hint="eastAsia" w:cs="仿宋"/>
          <w:sz w:val="24"/>
          <w:lang w:val="en-US" w:eastAsia="zh-CN"/>
        </w:rPr>
        <w:t>成交</w:t>
      </w:r>
      <w:r>
        <w:rPr>
          <w:rFonts w:hint="eastAsia" w:ascii="宋体" w:hAnsi="宋体" w:cs="仿宋"/>
          <w:bCs/>
          <w:sz w:val="24"/>
        </w:rPr>
        <w:t>，其</w:t>
      </w:r>
      <w:r>
        <w:rPr>
          <w:rFonts w:hint="eastAsia" w:cs="仿宋"/>
          <w:bCs/>
          <w:sz w:val="24"/>
          <w:lang w:val="en-US" w:eastAsia="zh-CN"/>
        </w:rPr>
        <w:t>谈判</w:t>
      </w:r>
      <w:r>
        <w:rPr>
          <w:rFonts w:hint="eastAsia" w:ascii="宋体" w:hAnsi="宋体" w:cs="仿宋"/>
          <w:bCs/>
          <w:sz w:val="24"/>
        </w:rPr>
        <w:t>保证金不予退还，给</w:t>
      </w:r>
      <w:r>
        <w:rPr>
          <w:rFonts w:hint="eastAsia" w:cs="仿宋"/>
          <w:bCs/>
          <w:sz w:val="24"/>
          <w:lang w:val="en-US" w:eastAsia="zh-CN"/>
        </w:rPr>
        <w:t>采购</w:t>
      </w:r>
      <w:r>
        <w:rPr>
          <w:rFonts w:hint="eastAsia" w:ascii="宋体" w:hAnsi="宋体" w:cs="仿宋"/>
          <w:bCs/>
          <w:sz w:val="24"/>
        </w:rPr>
        <w:t>人造成的损失超过</w:t>
      </w:r>
      <w:r>
        <w:rPr>
          <w:rFonts w:hint="eastAsia" w:cs="仿宋"/>
          <w:bCs/>
          <w:sz w:val="24"/>
          <w:lang w:val="en-US" w:eastAsia="zh-CN"/>
        </w:rPr>
        <w:t>谈判</w:t>
      </w:r>
      <w:r>
        <w:rPr>
          <w:rFonts w:hint="eastAsia" w:ascii="宋体" w:hAnsi="宋体" w:cs="仿宋"/>
          <w:bCs/>
          <w:sz w:val="24"/>
        </w:rPr>
        <w:t>保证金数额的，</w:t>
      </w:r>
      <w:r>
        <w:rPr>
          <w:rFonts w:hint="eastAsia" w:cs="仿宋"/>
          <w:sz w:val="24"/>
          <w:lang w:val="en-US" w:eastAsia="zh-CN"/>
        </w:rPr>
        <w:t>成交</w:t>
      </w:r>
      <w:r>
        <w:rPr>
          <w:rFonts w:hint="eastAsia" w:ascii="宋体" w:hAnsi="宋体" w:cs="仿宋"/>
          <w:bCs/>
          <w:sz w:val="24"/>
        </w:rPr>
        <w:t>人还应当对超过部分予以赔偿。</w:t>
      </w:r>
    </w:p>
    <w:p w14:paraId="026E5A99">
      <w:pPr>
        <w:pStyle w:val="18"/>
        <w:rPr>
          <w:rFonts w:hint="eastAsia"/>
        </w:rPr>
      </w:pPr>
      <w:r>
        <w:rPr>
          <w:rFonts w:hint="eastAsia"/>
          <w:lang w:val="en-US" w:eastAsia="zh-CN"/>
        </w:rPr>
        <w:t>7.4</w:t>
      </w:r>
      <w:r>
        <w:rPr>
          <w:rFonts w:hint="eastAsia"/>
        </w:rPr>
        <w:t>签订合同</w:t>
      </w:r>
    </w:p>
    <w:p w14:paraId="47989BBE">
      <w:pPr>
        <w:spacing w:line="360" w:lineRule="auto"/>
        <w:ind w:firstLine="420" w:firstLineChars="200"/>
        <w:rPr>
          <w:rFonts w:hint="eastAsia" w:cs="仿宋"/>
        </w:rPr>
      </w:pPr>
      <w:r>
        <w:rPr>
          <w:rFonts w:cs="仿宋"/>
        </w:rPr>
        <w:t xml:space="preserve"> </w:t>
      </w:r>
      <w:r>
        <w:rPr>
          <w:rFonts w:hint="eastAsia" w:cs="仿宋"/>
        </w:rPr>
        <w:t>应当在</w:t>
      </w:r>
      <w:r>
        <w:rPr>
          <w:rFonts w:hint="eastAsia" w:cs="仿宋"/>
          <w:lang w:val="en-US" w:eastAsia="zh-CN"/>
        </w:rPr>
        <w:t>成交</w:t>
      </w:r>
      <w:r>
        <w:rPr>
          <w:rFonts w:hint="eastAsia" w:cs="仿宋"/>
        </w:rPr>
        <w:t>通知书发出之日起</w:t>
      </w:r>
      <w:r>
        <w:rPr>
          <w:rFonts w:hint="eastAsia" w:cs="仿宋"/>
          <w:lang w:val="en-US" w:eastAsia="zh-CN"/>
        </w:rPr>
        <w:t>7</w:t>
      </w:r>
      <w:r>
        <w:rPr>
          <w:rFonts w:hint="eastAsia" w:cs="仿宋"/>
        </w:rPr>
        <w:t>日内，根据</w:t>
      </w:r>
      <w:r>
        <w:rPr>
          <w:rFonts w:hint="eastAsia" w:cs="仿宋"/>
          <w:lang w:val="en-US" w:eastAsia="zh-CN"/>
        </w:rPr>
        <w:t>谈判</w:t>
      </w:r>
      <w:r>
        <w:rPr>
          <w:rFonts w:hint="eastAsia" w:cs="仿宋"/>
        </w:rPr>
        <w:t>文</w:t>
      </w:r>
      <w:r>
        <w:rPr>
          <w:rFonts w:hint="eastAsia" w:cs="仿宋"/>
          <w:lang w:val="en-US" w:eastAsia="zh-CN"/>
        </w:rPr>
        <w:t>件和供应商的响应</w:t>
      </w:r>
      <w:r>
        <w:rPr>
          <w:rFonts w:hint="eastAsia" w:cs="仿宋"/>
        </w:rPr>
        <w:t>文件订立书面合同。</w:t>
      </w:r>
      <w:r>
        <w:rPr>
          <w:rFonts w:hint="eastAsia" w:cs="仿宋"/>
          <w:sz w:val="24"/>
          <w:lang w:val="en-US" w:eastAsia="zh-CN"/>
        </w:rPr>
        <w:t>供应商</w:t>
      </w:r>
      <w:r>
        <w:rPr>
          <w:rFonts w:hint="eastAsia" w:cs="仿宋"/>
        </w:rPr>
        <w:t>无正当理由拒签合同，在签订合同时向</w:t>
      </w:r>
      <w:r>
        <w:rPr>
          <w:rFonts w:hint="eastAsia" w:cs="仿宋"/>
          <w:lang w:val="en-US" w:eastAsia="zh-CN"/>
        </w:rPr>
        <w:t>采购</w:t>
      </w:r>
      <w:r>
        <w:rPr>
          <w:rFonts w:hint="eastAsia" w:cs="仿宋"/>
        </w:rPr>
        <w:t>人提出附加条件，或者不按照</w:t>
      </w:r>
      <w:r>
        <w:rPr>
          <w:rFonts w:hint="eastAsia" w:cs="仿宋"/>
          <w:lang w:val="en-US" w:eastAsia="zh-CN"/>
        </w:rPr>
        <w:t>谈判</w:t>
      </w:r>
      <w:r>
        <w:rPr>
          <w:rFonts w:hint="eastAsia" w:cs="仿宋"/>
        </w:rPr>
        <w:t>文件要求提交履约保证金的，</w:t>
      </w:r>
      <w:r>
        <w:rPr>
          <w:rFonts w:hint="eastAsia" w:cs="仿宋"/>
          <w:lang w:val="en-US" w:eastAsia="zh-CN"/>
        </w:rPr>
        <w:t>采购</w:t>
      </w:r>
      <w:r>
        <w:rPr>
          <w:rFonts w:hint="eastAsia" w:cs="仿宋"/>
        </w:rPr>
        <w:t>人有权取消其</w:t>
      </w:r>
      <w:r>
        <w:rPr>
          <w:rFonts w:hint="eastAsia" w:cs="仿宋"/>
          <w:lang w:val="en-US" w:eastAsia="zh-CN"/>
        </w:rPr>
        <w:t>成交</w:t>
      </w:r>
      <w:r>
        <w:rPr>
          <w:rFonts w:hint="eastAsia" w:cs="仿宋"/>
        </w:rPr>
        <w:t>资格，其</w:t>
      </w:r>
      <w:r>
        <w:rPr>
          <w:rFonts w:hint="eastAsia" w:cs="仿宋"/>
          <w:lang w:val="en-US" w:eastAsia="zh-CN"/>
        </w:rPr>
        <w:t>谈判</w:t>
      </w:r>
      <w:r>
        <w:rPr>
          <w:rFonts w:hint="eastAsia" w:cs="仿宋"/>
        </w:rPr>
        <w:t>保证金不予退还；给</w:t>
      </w:r>
      <w:r>
        <w:rPr>
          <w:rFonts w:hint="eastAsia" w:cs="仿宋"/>
          <w:lang w:val="en-US" w:eastAsia="zh-CN"/>
        </w:rPr>
        <w:t>采购</w:t>
      </w:r>
      <w:r>
        <w:rPr>
          <w:rFonts w:hint="eastAsia" w:cs="仿宋"/>
        </w:rPr>
        <w:t>人造成的损失超过</w:t>
      </w:r>
      <w:r>
        <w:rPr>
          <w:rFonts w:hint="eastAsia" w:cs="仿宋"/>
          <w:lang w:val="en-US" w:eastAsia="zh-CN"/>
        </w:rPr>
        <w:t>谈判</w:t>
      </w:r>
      <w:r>
        <w:rPr>
          <w:rFonts w:hint="eastAsia" w:cs="仿宋"/>
        </w:rPr>
        <w:t>保证金数额的，</w:t>
      </w:r>
      <w:r>
        <w:rPr>
          <w:rFonts w:hint="eastAsia" w:cs="仿宋"/>
          <w:lang w:val="en-US" w:eastAsia="zh-CN"/>
        </w:rPr>
        <w:t>供应商</w:t>
      </w:r>
      <w:r>
        <w:rPr>
          <w:rFonts w:hint="eastAsia" w:cs="仿宋"/>
        </w:rPr>
        <w:t>还应当对超过部分予以赔偿。</w:t>
      </w:r>
    </w:p>
    <w:p w14:paraId="0222A727">
      <w:pPr>
        <w:pStyle w:val="13"/>
        <w:rPr>
          <w:rStyle w:val="20"/>
          <w:rFonts w:hint="eastAsia" w:eastAsia="宋体"/>
          <w:b w:val="0"/>
          <w:bCs w:val="0"/>
          <w:lang w:eastAsia="zh-CN"/>
        </w:rPr>
      </w:pPr>
      <w:bookmarkStart w:id="79" w:name="_Toc506105859"/>
      <w:bookmarkStart w:id="80" w:name="_Toc507936051"/>
      <w:r>
        <w:rPr>
          <w:rStyle w:val="20"/>
          <w:rFonts w:hint="eastAsia"/>
          <w:b w:val="0"/>
          <w:bCs w:val="0"/>
        </w:rPr>
        <w:t>8.重新</w:t>
      </w:r>
      <w:bookmarkEnd w:id="79"/>
      <w:bookmarkEnd w:id="80"/>
      <w:bookmarkStart w:id="81" w:name="_Toc506105860"/>
      <w:r>
        <w:rPr>
          <w:rStyle w:val="20"/>
          <w:rFonts w:hint="eastAsia" w:eastAsia="宋体"/>
          <w:b w:val="0"/>
          <w:bCs w:val="0"/>
          <w:lang w:val="en-US" w:eastAsia="zh-CN"/>
        </w:rPr>
        <w:t>谈判</w:t>
      </w:r>
    </w:p>
    <w:bookmarkEnd w:id="81"/>
    <w:p w14:paraId="06616E1D">
      <w:pPr>
        <w:pStyle w:val="18"/>
        <w:rPr>
          <w:rFonts w:hint="eastAsia" w:eastAsia="宋体"/>
          <w:lang w:eastAsia="zh-CN"/>
        </w:rPr>
      </w:pPr>
      <w:bookmarkStart w:id="82" w:name="_Toc507936052"/>
      <w:r>
        <w:rPr>
          <w:rFonts w:hint="eastAsia"/>
        </w:rPr>
        <w:t>8.1重新</w:t>
      </w:r>
      <w:bookmarkEnd w:id="82"/>
      <w:r>
        <w:rPr>
          <w:rFonts w:hint="eastAsia"/>
          <w:lang w:val="en-US" w:eastAsia="zh-CN"/>
        </w:rPr>
        <w:t>谈判</w:t>
      </w:r>
    </w:p>
    <w:p w14:paraId="53B55C2E">
      <w:pPr>
        <w:spacing w:line="360" w:lineRule="auto"/>
        <w:rPr>
          <w:rFonts w:ascii="宋体" w:hAnsi="宋体" w:cs="仿宋"/>
          <w:sz w:val="28"/>
          <w:szCs w:val="28"/>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788194C6">
      <w:pPr>
        <w:pStyle w:val="13"/>
        <w:rPr>
          <w:rStyle w:val="20"/>
          <w:b w:val="0"/>
          <w:bCs w:val="0"/>
        </w:rPr>
      </w:pPr>
      <w:bookmarkStart w:id="83" w:name="_Toc152045574"/>
      <w:bookmarkStart w:id="84" w:name="_Toc152042350"/>
      <w:bookmarkStart w:id="85" w:name="_Toc446434333"/>
      <w:bookmarkStart w:id="86" w:name="_Toc144974542"/>
      <w:bookmarkStart w:id="87" w:name="_Toc269310962"/>
      <w:bookmarkStart w:id="88" w:name="_Toc312072272"/>
      <w:bookmarkStart w:id="89" w:name="_Toc507936053"/>
      <w:r>
        <w:rPr>
          <w:rStyle w:val="20"/>
          <w:b w:val="0"/>
          <w:bCs w:val="0"/>
        </w:rPr>
        <w:t xml:space="preserve">9. </w:t>
      </w:r>
      <w:r>
        <w:rPr>
          <w:rStyle w:val="20"/>
          <w:rFonts w:hint="eastAsia"/>
          <w:b w:val="0"/>
          <w:bCs w:val="0"/>
        </w:rPr>
        <w:t>纪律和监督</w:t>
      </w:r>
      <w:bookmarkEnd w:id="83"/>
      <w:bookmarkEnd w:id="84"/>
      <w:bookmarkEnd w:id="85"/>
      <w:bookmarkEnd w:id="86"/>
      <w:bookmarkEnd w:id="87"/>
      <w:bookmarkEnd w:id="88"/>
      <w:bookmarkEnd w:id="89"/>
    </w:p>
    <w:p w14:paraId="703AD4F8">
      <w:pPr>
        <w:pStyle w:val="18"/>
        <w:rPr>
          <w:rFonts w:hint="eastAsia"/>
        </w:rPr>
      </w:pPr>
      <w:bookmarkStart w:id="90" w:name="_Toc507936054"/>
      <w:bookmarkStart w:id="91" w:name="_Toc312072278"/>
      <w:bookmarkStart w:id="92" w:name="_Toc269310968"/>
      <w:bookmarkStart w:id="93" w:name="_Toc446434339"/>
      <w:bookmarkStart w:id="94" w:name="_Toc152042357"/>
      <w:bookmarkStart w:id="95" w:name="_Toc144974547"/>
      <w:bookmarkStart w:id="96" w:name="_Toc507936059"/>
      <w:bookmarkStart w:id="97" w:name="_Toc152045580"/>
      <w:r>
        <w:rPr>
          <w:rFonts w:hint="eastAsia"/>
        </w:rPr>
        <w:t>9.1对</w:t>
      </w:r>
      <w:r>
        <w:rPr>
          <w:rFonts w:hint="eastAsia"/>
          <w:lang w:val="en-US" w:eastAsia="zh-CN"/>
        </w:rPr>
        <w:t>采购</w:t>
      </w:r>
      <w:r>
        <w:rPr>
          <w:rFonts w:hint="eastAsia"/>
        </w:rPr>
        <w:t>人的纪律要求</w:t>
      </w:r>
      <w:bookmarkEnd w:id="90"/>
    </w:p>
    <w:p w14:paraId="39D4BE65">
      <w:pPr>
        <w:spacing w:line="400" w:lineRule="exact"/>
        <w:ind w:firstLine="480" w:firstLineChars="200"/>
        <w:rPr>
          <w:sz w:val="24"/>
        </w:rPr>
      </w:pPr>
      <w:r>
        <w:rPr>
          <w:rFonts w:hint="eastAsia" w:cs="宋体"/>
          <w:sz w:val="24"/>
          <w:lang w:val="en-US" w:eastAsia="zh-CN"/>
        </w:rPr>
        <w:t>采购</w:t>
      </w:r>
      <w:r>
        <w:rPr>
          <w:rFonts w:hint="eastAsia" w:cs="宋体"/>
          <w:sz w:val="24"/>
        </w:rPr>
        <w:t>人不得泄漏</w:t>
      </w:r>
      <w:r>
        <w:rPr>
          <w:rFonts w:hint="eastAsia" w:cs="宋体"/>
          <w:sz w:val="24"/>
          <w:lang w:val="en-US" w:eastAsia="zh-CN"/>
        </w:rPr>
        <w:t>谈判</w:t>
      </w:r>
      <w:r>
        <w:rPr>
          <w:rFonts w:hint="eastAsia" w:cs="宋体"/>
          <w:sz w:val="24"/>
        </w:rPr>
        <w:t>活动中应当保密的情况和资料，不得与</w:t>
      </w:r>
      <w:r>
        <w:rPr>
          <w:rFonts w:hint="eastAsia" w:cs="宋体"/>
          <w:sz w:val="24"/>
          <w:lang w:val="en-US" w:eastAsia="zh-CN"/>
        </w:rPr>
        <w:t>供应商</w:t>
      </w:r>
      <w:r>
        <w:rPr>
          <w:rFonts w:hint="eastAsia" w:cs="宋体"/>
          <w:sz w:val="24"/>
        </w:rPr>
        <w:t>串通损害国家利益、社会公共利益和他人合法权益。</w:t>
      </w:r>
    </w:p>
    <w:p w14:paraId="5D26722E">
      <w:pPr>
        <w:pStyle w:val="18"/>
        <w:rPr>
          <w:rFonts w:hint="eastAsia"/>
        </w:rPr>
      </w:pPr>
      <w:bookmarkStart w:id="98" w:name="_Toc507936055"/>
      <w:r>
        <w:rPr>
          <w:rFonts w:hint="eastAsia"/>
        </w:rPr>
        <w:t>9.2对</w:t>
      </w:r>
      <w:r>
        <w:rPr>
          <w:rFonts w:hint="eastAsia"/>
          <w:lang w:val="en-US" w:eastAsia="zh-CN"/>
        </w:rPr>
        <w:t>供应商</w:t>
      </w:r>
      <w:r>
        <w:rPr>
          <w:rFonts w:hint="eastAsia"/>
        </w:rPr>
        <w:t>的纪律要求</w:t>
      </w:r>
      <w:bookmarkEnd w:id="98"/>
    </w:p>
    <w:p w14:paraId="0B409559">
      <w:pPr>
        <w:spacing w:line="400" w:lineRule="exact"/>
        <w:ind w:firstLine="480" w:firstLineChars="200"/>
        <w:rPr>
          <w:sz w:val="24"/>
        </w:rPr>
      </w:pPr>
      <w:r>
        <w:rPr>
          <w:rFonts w:hint="eastAsia" w:cs="宋体"/>
          <w:sz w:val="24"/>
          <w:lang w:val="en-US" w:eastAsia="zh-CN"/>
        </w:rPr>
        <w:t>供应商</w:t>
      </w:r>
      <w:r>
        <w:rPr>
          <w:rFonts w:hint="eastAsia" w:cs="宋体"/>
          <w:sz w:val="24"/>
        </w:rPr>
        <w:t>不得相互串通或者与</w:t>
      </w:r>
      <w:r>
        <w:rPr>
          <w:rFonts w:hint="eastAsia" w:cs="宋体"/>
          <w:sz w:val="24"/>
          <w:lang w:val="en-US" w:eastAsia="zh-CN"/>
        </w:rPr>
        <w:t>采购</w:t>
      </w:r>
      <w:r>
        <w:rPr>
          <w:rFonts w:hint="eastAsia" w:cs="宋体"/>
          <w:sz w:val="24"/>
        </w:rPr>
        <w:t>人串通，不得向</w:t>
      </w:r>
      <w:r>
        <w:rPr>
          <w:rFonts w:hint="eastAsia" w:cs="宋体"/>
          <w:sz w:val="24"/>
          <w:lang w:val="en-US" w:eastAsia="zh-CN"/>
        </w:rPr>
        <w:t>采购</w:t>
      </w:r>
      <w:r>
        <w:rPr>
          <w:rFonts w:hint="eastAsia" w:cs="宋体"/>
          <w:sz w:val="24"/>
        </w:rPr>
        <w:t>人或者评</w:t>
      </w:r>
      <w:r>
        <w:rPr>
          <w:rFonts w:hint="eastAsia" w:cs="宋体"/>
          <w:sz w:val="24"/>
          <w:lang w:val="en-US" w:eastAsia="zh-CN"/>
        </w:rPr>
        <w:t>审</w:t>
      </w:r>
      <w:r>
        <w:rPr>
          <w:rFonts w:hint="eastAsia" w:cs="宋体"/>
          <w:sz w:val="24"/>
        </w:rPr>
        <w:t>委员会成员行贿谋取</w:t>
      </w:r>
      <w:r>
        <w:rPr>
          <w:rFonts w:hint="eastAsia" w:cs="仿宋"/>
          <w:sz w:val="24"/>
          <w:lang w:val="en-US" w:eastAsia="zh-CN"/>
        </w:rPr>
        <w:t>成交</w:t>
      </w:r>
      <w:r>
        <w:rPr>
          <w:rFonts w:hint="eastAsia" w:cs="宋体"/>
          <w:sz w:val="24"/>
        </w:rPr>
        <w:t>，不得以他人名义</w:t>
      </w:r>
      <w:r>
        <w:rPr>
          <w:rFonts w:hint="eastAsia" w:cs="宋体"/>
          <w:sz w:val="24"/>
          <w:lang w:val="en-US" w:eastAsia="zh-CN"/>
        </w:rPr>
        <w:t>参加谈判</w:t>
      </w:r>
      <w:r>
        <w:rPr>
          <w:rFonts w:hint="eastAsia" w:cs="宋体"/>
          <w:sz w:val="24"/>
        </w:rPr>
        <w:t>或者以其他方式弄虚作假骗取</w:t>
      </w:r>
      <w:r>
        <w:rPr>
          <w:rFonts w:hint="eastAsia" w:cs="仿宋"/>
          <w:sz w:val="24"/>
          <w:lang w:val="en-US" w:eastAsia="zh-CN"/>
        </w:rPr>
        <w:t>成交</w:t>
      </w:r>
      <w:r>
        <w:rPr>
          <w:rFonts w:hint="eastAsia" w:cs="宋体"/>
          <w:sz w:val="24"/>
        </w:rPr>
        <w:t>；</w:t>
      </w:r>
      <w:r>
        <w:rPr>
          <w:rFonts w:hint="eastAsia" w:cs="宋体"/>
          <w:sz w:val="24"/>
          <w:lang w:val="en-US" w:eastAsia="zh-CN"/>
        </w:rPr>
        <w:t>供应商</w:t>
      </w:r>
      <w:r>
        <w:rPr>
          <w:rFonts w:hint="eastAsia" w:cs="宋体"/>
          <w:sz w:val="24"/>
        </w:rPr>
        <w:t>不得以任何方式干扰、影响评</w:t>
      </w:r>
      <w:r>
        <w:rPr>
          <w:rFonts w:hint="eastAsia" w:cs="宋体"/>
          <w:sz w:val="24"/>
          <w:lang w:val="en-US" w:eastAsia="zh-CN"/>
        </w:rPr>
        <w:t>审</w:t>
      </w:r>
      <w:r>
        <w:rPr>
          <w:rFonts w:hint="eastAsia" w:cs="宋体"/>
          <w:sz w:val="24"/>
        </w:rPr>
        <w:t>工作。</w:t>
      </w:r>
    </w:p>
    <w:p w14:paraId="5906468F">
      <w:pPr>
        <w:pStyle w:val="18"/>
      </w:pPr>
      <w:bookmarkStart w:id="99" w:name="_Toc312072275"/>
      <w:bookmarkStart w:id="100" w:name="_Toc507936056"/>
      <w:bookmarkStart w:id="101" w:name="_Toc446434336"/>
      <w:r>
        <w:t xml:space="preserve">9.3 </w:t>
      </w:r>
      <w:r>
        <w:rPr>
          <w:rFonts w:hint="eastAsia"/>
        </w:rPr>
        <w:t>对评</w:t>
      </w:r>
      <w:r>
        <w:rPr>
          <w:rFonts w:hint="eastAsia"/>
          <w:lang w:val="en-US" w:eastAsia="zh-CN"/>
        </w:rPr>
        <w:t>审</w:t>
      </w:r>
      <w:r>
        <w:rPr>
          <w:rFonts w:hint="eastAsia"/>
        </w:rPr>
        <w:t>委员会成员的纪律要求</w:t>
      </w:r>
      <w:bookmarkEnd w:id="99"/>
      <w:bookmarkEnd w:id="100"/>
      <w:bookmarkEnd w:id="101"/>
    </w:p>
    <w:p w14:paraId="4D2DE7E3">
      <w:pPr>
        <w:spacing w:line="400" w:lineRule="exact"/>
        <w:ind w:firstLine="480" w:firstLineChars="200"/>
        <w:rPr>
          <w:sz w:val="24"/>
        </w:rPr>
      </w:pPr>
      <w:r>
        <w:rPr>
          <w:rFonts w:hint="eastAsia" w:cs="宋体"/>
          <w:sz w:val="24"/>
        </w:rPr>
        <w:t>评</w:t>
      </w:r>
      <w:r>
        <w:rPr>
          <w:rFonts w:hint="eastAsia" w:cs="宋体"/>
          <w:sz w:val="24"/>
          <w:lang w:val="en-US" w:eastAsia="zh-CN"/>
        </w:rPr>
        <w:t>审</w:t>
      </w:r>
      <w:r>
        <w:rPr>
          <w:rFonts w:hint="eastAsia" w:cs="宋体"/>
          <w:sz w:val="24"/>
        </w:rPr>
        <w:t>委员会成员不得收受他人的财物或者其他好处，不得向他人透漏对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宋体"/>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w:t>
      </w:r>
      <w:r>
        <w:rPr>
          <w:rFonts w:hint="eastAsia" w:cs="宋体"/>
          <w:sz w:val="24"/>
          <w:lang w:eastAsia="zh-CN"/>
        </w:rPr>
        <w:t>评审</w:t>
      </w:r>
      <w:r>
        <w:rPr>
          <w:rFonts w:hint="eastAsia" w:cs="宋体"/>
          <w:sz w:val="24"/>
        </w:rPr>
        <w:t>委员会成员不得擅离职守，影响</w:t>
      </w:r>
      <w:r>
        <w:rPr>
          <w:rFonts w:hint="eastAsia" w:cs="宋体"/>
          <w:sz w:val="24"/>
          <w:lang w:eastAsia="zh-CN"/>
        </w:rPr>
        <w:t>评审</w:t>
      </w:r>
      <w:r>
        <w:rPr>
          <w:rFonts w:hint="eastAsia" w:cs="宋体"/>
          <w:sz w:val="24"/>
        </w:rPr>
        <w:t>程序正常进行，不得使用第三章“</w:t>
      </w:r>
      <w:r>
        <w:rPr>
          <w:rFonts w:hint="eastAsia" w:cs="宋体"/>
          <w:sz w:val="24"/>
          <w:lang w:eastAsia="zh-CN"/>
        </w:rPr>
        <w:t>评审</w:t>
      </w:r>
      <w:r>
        <w:rPr>
          <w:rFonts w:hint="eastAsia" w:cs="宋体"/>
          <w:sz w:val="24"/>
        </w:rPr>
        <w:t>办法”没有规定的评审因素和标准进行</w:t>
      </w:r>
      <w:r>
        <w:rPr>
          <w:rFonts w:hint="eastAsia" w:cs="宋体"/>
          <w:sz w:val="24"/>
          <w:lang w:eastAsia="zh-CN"/>
        </w:rPr>
        <w:t>评审</w:t>
      </w:r>
      <w:r>
        <w:rPr>
          <w:rFonts w:hint="eastAsia" w:cs="宋体"/>
          <w:sz w:val="24"/>
        </w:rPr>
        <w:t>。</w:t>
      </w:r>
    </w:p>
    <w:p w14:paraId="661F766F">
      <w:pPr>
        <w:pStyle w:val="18"/>
      </w:pPr>
      <w:bookmarkStart w:id="102" w:name="_Toc507936057"/>
      <w:bookmarkStart w:id="103" w:name="_Toc446434337"/>
      <w:bookmarkStart w:id="104" w:name="_Toc312072276"/>
      <w:r>
        <w:t xml:space="preserve">9.4 </w:t>
      </w:r>
      <w:r>
        <w:rPr>
          <w:rFonts w:hint="eastAsia"/>
        </w:rPr>
        <w:t>对与</w:t>
      </w:r>
      <w:r>
        <w:rPr>
          <w:rFonts w:hint="eastAsia"/>
          <w:lang w:eastAsia="zh-CN"/>
        </w:rPr>
        <w:t>评审</w:t>
      </w:r>
      <w:r>
        <w:rPr>
          <w:rFonts w:hint="eastAsia"/>
        </w:rPr>
        <w:t>活动有关的工作人员的纪律要求</w:t>
      </w:r>
      <w:bookmarkEnd w:id="102"/>
      <w:bookmarkEnd w:id="103"/>
      <w:bookmarkEnd w:id="104"/>
    </w:p>
    <w:p w14:paraId="6E2E47F5">
      <w:pPr>
        <w:spacing w:line="400" w:lineRule="exact"/>
        <w:ind w:firstLine="480" w:firstLineChars="200"/>
        <w:rPr>
          <w:sz w:val="24"/>
        </w:rPr>
      </w:pPr>
      <w:r>
        <w:rPr>
          <w:rFonts w:hint="eastAsia" w:cs="宋体"/>
          <w:sz w:val="24"/>
        </w:rPr>
        <w:t>与</w:t>
      </w:r>
      <w:r>
        <w:rPr>
          <w:rFonts w:hint="eastAsia" w:cs="宋体"/>
          <w:sz w:val="24"/>
          <w:lang w:eastAsia="zh-CN"/>
        </w:rPr>
        <w:t>评审</w:t>
      </w:r>
      <w:r>
        <w:rPr>
          <w:rFonts w:hint="eastAsia" w:cs="宋体"/>
          <w:sz w:val="24"/>
        </w:rPr>
        <w:t>活动有关的工作人员不得收受他人的财物或者其他好处，不得向他人透漏对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仿宋"/>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活动中，与</w:t>
      </w:r>
      <w:r>
        <w:rPr>
          <w:rFonts w:hint="eastAsia" w:cs="宋体"/>
          <w:sz w:val="24"/>
          <w:lang w:eastAsia="zh-CN"/>
        </w:rPr>
        <w:t>评审</w:t>
      </w:r>
      <w:r>
        <w:rPr>
          <w:rFonts w:hint="eastAsia" w:cs="宋体"/>
          <w:sz w:val="24"/>
        </w:rPr>
        <w:t>活动有关的工作人员不得擅离职守，影响</w:t>
      </w:r>
      <w:r>
        <w:rPr>
          <w:rFonts w:hint="eastAsia" w:cs="宋体"/>
          <w:sz w:val="24"/>
          <w:lang w:eastAsia="zh-CN"/>
        </w:rPr>
        <w:t>评审</w:t>
      </w:r>
      <w:r>
        <w:rPr>
          <w:rFonts w:hint="eastAsia" w:cs="宋体"/>
          <w:sz w:val="24"/>
        </w:rPr>
        <w:t>程序正常进行。</w:t>
      </w:r>
    </w:p>
    <w:p w14:paraId="52015B34">
      <w:pPr>
        <w:pStyle w:val="18"/>
      </w:pPr>
      <w:bookmarkStart w:id="105" w:name="_Toc312072277"/>
      <w:bookmarkStart w:id="106" w:name="_Toc446434338"/>
      <w:bookmarkStart w:id="107" w:name="_Toc507936058"/>
      <w:r>
        <w:t xml:space="preserve">9.5 </w:t>
      </w:r>
      <w:r>
        <w:rPr>
          <w:rFonts w:hint="eastAsia"/>
        </w:rPr>
        <w:t>投诉</w:t>
      </w:r>
      <w:bookmarkEnd w:id="105"/>
      <w:bookmarkEnd w:id="106"/>
      <w:bookmarkEnd w:id="107"/>
    </w:p>
    <w:p w14:paraId="298EE3EC">
      <w:pPr>
        <w:spacing w:line="400" w:lineRule="exact"/>
        <w:ind w:firstLine="480" w:firstLineChars="200"/>
        <w:rPr>
          <w:sz w:val="24"/>
        </w:rPr>
      </w:pPr>
      <w:r>
        <w:rPr>
          <w:rFonts w:hint="eastAsia" w:cs="宋体"/>
          <w:sz w:val="24"/>
          <w:lang w:eastAsia="zh-CN"/>
        </w:rPr>
        <w:t>供应商</w:t>
      </w:r>
      <w:r>
        <w:rPr>
          <w:rFonts w:hint="eastAsia" w:cs="宋体"/>
          <w:sz w:val="24"/>
        </w:rPr>
        <w:t>和其他利害关系人认为本次</w:t>
      </w:r>
      <w:r>
        <w:rPr>
          <w:rFonts w:hint="eastAsia" w:cs="宋体"/>
          <w:sz w:val="24"/>
          <w:lang w:val="en-US" w:eastAsia="zh-CN"/>
        </w:rPr>
        <w:t>谈判</w:t>
      </w:r>
      <w:r>
        <w:rPr>
          <w:rFonts w:hint="eastAsia" w:cs="宋体"/>
          <w:sz w:val="24"/>
        </w:rPr>
        <w:t>活动违反法律、法规和规章规定的，有权向市建设行政主管部门和相关监督部门投诉。</w:t>
      </w:r>
    </w:p>
    <w:p w14:paraId="3B70B769">
      <w:pPr>
        <w:pStyle w:val="18"/>
        <w:jc w:val="center"/>
        <w:rPr>
          <w:rStyle w:val="20"/>
          <w:b w:val="0"/>
          <w:bCs w:val="0"/>
        </w:rPr>
      </w:pPr>
      <w:r>
        <w:rPr>
          <w:rStyle w:val="20"/>
          <w:b w:val="0"/>
          <w:bCs w:val="0"/>
        </w:rPr>
        <w:t xml:space="preserve">10. </w:t>
      </w:r>
      <w:r>
        <w:rPr>
          <w:rStyle w:val="20"/>
          <w:rFonts w:hint="eastAsia"/>
          <w:b w:val="0"/>
          <w:bCs w:val="0"/>
        </w:rPr>
        <w:t>需要补充的其他内容</w:t>
      </w:r>
      <w:bookmarkEnd w:id="91"/>
      <w:bookmarkEnd w:id="92"/>
      <w:bookmarkEnd w:id="93"/>
      <w:bookmarkEnd w:id="94"/>
      <w:bookmarkEnd w:id="95"/>
      <w:bookmarkEnd w:id="96"/>
      <w:bookmarkEnd w:id="97"/>
    </w:p>
    <w:p w14:paraId="477B9BEE">
      <w:pPr>
        <w:pStyle w:val="18"/>
        <w:rPr>
          <w:rFonts w:hint="eastAsia" w:ascii="宋体" w:hAnsi="宋体" w:eastAsia="宋体" w:cs="仿宋"/>
          <w:b w:val="0"/>
          <w:bCs/>
          <w:color w:val="000000"/>
          <w:kern w:val="0"/>
          <w:sz w:val="24"/>
          <w:szCs w:val="24"/>
          <w:lang w:val="en-US" w:eastAsia="zh-CN" w:bidi="ar-SA"/>
        </w:rPr>
      </w:pPr>
      <w:bookmarkStart w:id="108" w:name="_Toc506105866"/>
      <w:bookmarkStart w:id="109" w:name="_Toc507936060"/>
      <w:r>
        <w:rPr>
          <w:rFonts w:hint="eastAsia" w:ascii="Arial" w:hAnsi="Arial" w:cs="Times New Roman"/>
          <w:b w:val="0"/>
          <w:bCs w:val="0"/>
        </w:rPr>
        <w:t>10. 需要补充的其他内容</w:t>
      </w:r>
    </w:p>
    <w:p w14:paraId="44C3166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0" w:name="_Toc26208"/>
      <w:bookmarkStart w:id="111" w:name="_Toc22935"/>
      <w:r>
        <w:rPr>
          <w:rFonts w:hint="eastAsia" w:ascii="宋体" w:hAnsi="宋体" w:eastAsia="宋体" w:cs="仿宋"/>
          <w:b w:val="0"/>
          <w:bCs/>
          <w:color w:val="000000"/>
          <w:kern w:val="0"/>
          <w:sz w:val="24"/>
          <w:szCs w:val="24"/>
          <w:lang w:val="en-US" w:eastAsia="zh-CN" w:bidi="ar-SA"/>
        </w:rPr>
        <w:t>附：否决响应条件</w:t>
      </w:r>
      <w:bookmarkEnd w:id="110"/>
      <w:bookmarkEnd w:id="111"/>
    </w:p>
    <w:p w14:paraId="7BF1E9E5">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2" w:name="_Toc26414"/>
      <w:bookmarkStart w:id="113" w:name="_Toc32256"/>
      <w:r>
        <w:rPr>
          <w:rFonts w:hint="eastAsia" w:ascii="宋体" w:hAnsi="宋体" w:eastAsia="宋体" w:cs="仿宋"/>
          <w:b w:val="0"/>
          <w:bCs/>
          <w:color w:val="000000"/>
          <w:kern w:val="0"/>
          <w:sz w:val="24"/>
          <w:szCs w:val="24"/>
          <w:lang w:val="en-US" w:eastAsia="zh-CN" w:bidi="ar-SA"/>
        </w:rPr>
        <w:t>B0.总则</w:t>
      </w:r>
      <w:bookmarkEnd w:id="112"/>
      <w:bookmarkEnd w:id="113"/>
    </w:p>
    <w:p w14:paraId="24D1CE04">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4" w:name="_Toc20459"/>
      <w:bookmarkStart w:id="115" w:name="_Toc6469"/>
      <w:r>
        <w:rPr>
          <w:rFonts w:hint="eastAsia" w:ascii="宋体" w:hAnsi="宋体" w:eastAsia="宋体" w:cs="仿宋"/>
          <w:b w:val="0"/>
          <w:bCs/>
          <w:color w:val="000000"/>
          <w:kern w:val="0"/>
          <w:sz w:val="24"/>
          <w:szCs w:val="24"/>
          <w:lang w:val="en-US" w:eastAsia="zh-CN" w:bidi="ar-SA"/>
        </w:rPr>
        <w:t>本附件所集中列示的否决响应条件，是本章“评审办法”的组成部分，是对第二章“谈判须知”和本章正文部分所规定的否决响应条件的总结和补充。</w:t>
      </w:r>
      <w:bookmarkEnd w:id="114"/>
      <w:bookmarkEnd w:id="115"/>
    </w:p>
    <w:p w14:paraId="7F18291C">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6" w:name="_Toc249"/>
      <w:bookmarkStart w:id="117" w:name="_Toc11807"/>
      <w:r>
        <w:rPr>
          <w:rFonts w:hint="eastAsia" w:ascii="宋体" w:hAnsi="宋体" w:eastAsia="宋体" w:cs="仿宋"/>
          <w:b w:val="0"/>
          <w:bCs/>
          <w:color w:val="000000"/>
          <w:kern w:val="0"/>
          <w:sz w:val="24"/>
          <w:szCs w:val="24"/>
          <w:lang w:val="en-US" w:eastAsia="zh-CN" w:bidi="ar-SA"/>
        </w:rPr>
        <w:t>B1.否决响应条件</w:t>
      </w:r>
      <w:bookmarkEnd w:id="116"/>
      <w:bookmarkEnd w:id="117"/>
      <w:r>
        <w:rPr>
          <w:rFonts w:hint="eastAsia" w:ascii="宋体" w:hAnsi="宋体" w:eastAsia="宋体" w:cs="仿宋"/>
          <w:b w:val="0"/>
          <w:bCs/>
          <w:color w:val="000000"/>
          <w:kern w:val="0"/>
          <w:sz w:val="24"/>
          <w:szCs w:val="24"/>
          <w:lang w:val="en-US" w:eastAsia="zh-CN" w:bidi="ar-SA"/>
        </w:rPr>
        <w:t xml:space="preserve"> </w:t>
      </w:r>
    </w:p>
    <w:p w14:paraId="05C32186">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18" w:name="_Toc31525"/>
      <w:bookmarkStart w:id="119" w:name="_Toc26061"/>
      <w:r>
        <w:rPr>
          <w:rFonts w:hint="eastAsia" w:ascii="宋体" w:hAnsi="宋体" w:eastAsia="宋体" w:cs="仿宋"/>
          <w:b w:val="0"/>
          <w:bCs/>
          <w:color w:val="000000"/>
          <w:kern w:val="0"/>
          <w:sz w:val="24"/>
          <w:szCs w:val="24"/>
          <w:lang w:val="en-US" w:eastAsia="zh-CN" w:bidi="ar-SA"/>
        </w:rPr>
        <w:t>供应商或其响应文件有下列情形之一的，否决其响应资格：</w:t>
      </w:r>
      <w:bookmarkEnd w:id="118"/>
      <w:bookmarkEnd w:id="119"/>
    </w:p>
    <w:p w14:paraId="44A1E53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0" w:name="_Toc2691"/>
      <w:bookmarkStart w:id="121" w:name="_Toc18948"/>
      <w:r>
        <w:rPr>
          <w:rFonts w:hint="eastAsia" w:ascii="宋体" w:hAnsi="宋体" w:eastAsia="宋体" w:cs="仿宋"/>
          <w:b w:val="0"/>
          <w:bCs/>
          <w:color w:val="000000"/>
          <w:kern w:val="0"/>
          <w:sz w:val="24"/>
          <w:szCs w:val="24"/>
          <w:lang w:val="en-US" w:eastAsia="zh-CN" w:bidi="ar-SA"/>
        </w:rPr>
        <w:t>B1.1有第二章“谈判须知”规定的任何一种情形的。</w:t>
      </w:r>
      <w:bookmarkEnd w:id="120"/>
      <w:bookmarkEnd w:id="121"/>
    </w:p>
    <w:p w14:paraId="6E24F5B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2" w:name="_Toc13623"/>
      <w:bookmarkStart w:id="123" w:name="_Toc28035"/>
      <w:r>
        <w:rPr>
          <w:rFonts w:hint="eastAsia" w:ascii="宋体" w:hAnsi="宋体" w:eastAsia="宋体" w:cs="仿宋"/>
          <w:b w:val="0"/>
          <w:bCs/>
          <w:color w:val="000000"/>
          <w:kern w:val="0"/>
          <w:sz w:val="24"/>
          <w:szCs w:val="24"/>
          <w:lang w:val="en-US" w:eastAsia="zh-CN" w:bidi="ar-SA"/>
        </w:rPr>
        <w:t>B1.2 有串通投标或弄虚作假或其他违法行为的，详见下款：</w:t>
      </w:r>
      <w:bookmarkEnd w:id="122"/>
      <w:bookmarkEnd w:id="123"/>
    </w:p>
    <w:p w14:paraId="6823F80C">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4" w:name="_Toc29673"/>
      <w:bookmarkStart w:id="125" w:name="_Toc31820"/>
      <w:r>
        <w:rPr>
          <w:rFonts w:hint="eastAsia" w:ascii="宋体" w:hAnsi="宋体" w:eastAsia="宋体" w:cs="仿宋"/>
          <w:b w:val="0"/>
          <w:bCs/>
          <w:color w:val="000000"/>
          <w:kern w:val="0"/>
          <w:sz w:val="24"/>
          <w:szCs w:val="24"/>
          <w:lang w:val="en-US" w:eastAsia="zh-CN" w:bidi="ar-SA"/>
        </w:rPr>
        <w:t>B1.2.1供应商之间协商谈判报价等响应文件的实质性内容；</w:t>
      </w:r>
      <w:bookmarkEnd w:id="124"/>
      <w:bookmarkEnd w:id="125"/>
    </w:p>
    <w:p w14:paraId="6030692C">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6" w:name="_Toc23669"/>
      <w:bookmarkStart w:id="127" w:name="_Toc27255"/>
      <w:r>
        <w:rPr>
          <w:rFonts w:hint="eastAsia" w:ascii="宋体" w:hAnsi="宋体" w:eastAsia="宋体" w:cs="仿宋"/>
          <w:b w:val="0"/>
          <w:bCs/>
          <w:color w:val="000000"/>
          <w:kern w:val="0"/>
          <w:sz w:val="24"/>
          <w:szCs w:val="24"/>
          <w:lang w:val="en-US" w:eastAsia="zh-CN" w:bidi="ar-SA"/>
        </w:rPr>
        <w:t>B1.2.2供应商之间约定成交人；</w:t>
      </w:r>
      <w:bookmarkEnd w:id="126"/>
      <w:bookmarkEnd w:id="127"/>
    </w:p>
    <w:p w14:paraId="07B7A09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28" w:name="_Toc25019"/>
      <w:bookmarkStart w:id="129" w:name="_Toc28015"/>
      <w:r>
        <w:rPr>
          <w:rFonts w:hint="eastAsia" w:ascii="宋体" w:hAnsi="宋体" w:eastAsia="宋体" w:cs="仿宋"/>
          <w:b w:val="0"/>
          <w:bCs/>
          <w:color w:val="000000"/>
          <w:kern w:val="0"/>
          <w:sz w:val="24"/>
          <w:szCs w:val="24"/>
          <w:lang w:val="en-US" w:eastAsia="zh-CN" w:bidi="ar-SA"/>
        </w:rPr>
        <w:t>B1.2.3供应商之间约定部分供应商放弃响应或者成交；</w:t>
      </w:r>
      <w:bookmarkEnd w:id="128"/>
      <w:bookmarkEnd w:id="129"/>
    </w:p>
    <w:p w14:paraId="1C2D383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0" w:name="_Toc28945"/>
      <w:bookmarkStart w:id="131" w:name="_Toc17042"/>
      <w:r>
        <w:rPr>
          <w:rFonts w:hint="eastAsia" w:ascii="宋体" w:hAnsi="宋体" w:eastAsia="宋体" w:cs="仿宋"/>
          <w:b w:val="0"/>
          <w:bCs/>
          <w:color w:val="000000"/>
          <w:kern w:val="0"/>
          <w:sz w:val="24"/>
          <w:szCs w:val="24"/>
          <w:lang w:val="en-US" w:eastAsia="zh-CN" w:bidi="ar-SA"/>
        </w:rPr>
        <w:t>B1.2.4属于同一集团、协会、商会等组织成员的供应商按照该组织要求协同响应；</w:t>
      </w:r>
      <w:bookmarkEnd w:id="130"/>
      <w:bookmarkEnd w:id="131"/>
    </w:p>
    <w:p w14:paraId="3C45342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2" w:name="_Toc1494"/>
      <w:bookmarkStart w:id="133" w:name="_Toc8624"/>
      <w:r>
        <w:rPr>
          <w:rFonts w:hint="eastAsia" w:ascii="宋体" w:hAnsi="宋体" w:eastAsia="宋体" w:cs="仿宋"/>
          <w:b w:val="0"/>
          <w:bCs/>
          <w:color w:val="000000"/>
          <w:kern w:val="0"/>
          <w:sz w:val="24"/>
          <w:szCs w:val="24"/>
          <w:lang w:val="en-US" w:eastAsia="zh-CN" w:bidi="ar-SA"/>
        </w:rPr>
        <w:t>B1.2.5供应商之间为谋取成交或者排斥特定供应商而采取的其他联合行动；</w:t>
      </w:r>
      <w:bookmarkEnd w:id="132"/>
      <w:bookmarkEnd w:id="133"/>
    </w:p>
    <w:p w14:paraId="25B5D243">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4" w:name="_Toc32688"/>
      <w:bookmarkStart w:id="135" w:name="_Toc7585"/>
      <w:r>
        <w:rPr>
          <w:rFonts w:hint="eastAsia" w:ascii="宋体" w:hAnsi="宋体" w:eastAsia="宋体" w:cs="仿宋"/>
          <w:b w:val="0"/>
          <w:bCs/>
          <w:color w:val="000000"/>
          <w:kern w:val="0"/>
          <w:sz w:val="24"/>
          <w:szCs w:val="24"/>
          <w:lang w:val="en-US" w:eastAsia="zh-CN" w:bidi="ar-SA"/>
        </w:rPr>
        <w:t>B1.2.6不同供应商的响应文件由同一单位或者个人编制；</w:t>
      </w:r>
      <w:bookmarkEnd w:id="134"/>
      <w:bookmarkEnd w:id="135"/>
    </w:p>
    <w:p w14:paraId="276A3692">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6" w:name="_Toc14505"/>
      <w:bookmarkStart w:id="137" w:name="_Toc28358"/>
      <w:r>
        <w:rPr>
          <w:rFonts w:hint="eastAsia" w:ascii="宋体" w:hAnsi="宋体" w:eastAsia="宋体" w:cs="仿宋"/>
          <w:b w:val="0"/>
          <w:bCs/>
          <w:color w:val="000000"/>
          <w:kern w:val="0"/>
          <w:sz w:val="24"/>
          <w:szCs w:val="24"/>
          <w:lang w:val="en-US" w:eastAsia="zh-CN" w:bidi="ar-SA"/>
        </w:rPr>
        <w:t>B1.2.7不同供应商委托同一单位或者个人办理响应事宜；</w:t>
      </w:r>
      <w:bookmarkEnd w:id="136"/>
      <w:bookmarkEnd w:id="137"/>
    </w:p>
    <w:p w14:paraId="6C018F74">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8" w:name="_Toc15412"/>
      <w:bookmarkStart w:id="139" w:name="_Toc27336"/>
      <w:r>
        <w:rPr>
          <w:rFonts w:hint="eastAsia" w:ascii="宋体" w:hAnsi="宋体" w:eastAsia="宋体" w:cs="仿宋"/>
          <w:b w:val="0"/>
          <w:bCs/>
          <w:color w:val="000000"/>
          <w:kern w:val="0"/>
          <w:sz w:val="24"/>
          <w:szCs w:val="24"/>
          <w:lang w:val="en-US" w:eastAsia="zh-CN" w:bidi="ar-SA"/>
        </w:rPr>
        <w:t>B1.2.8不同供应商的响应文件异常一致或者响应报价呈规律性差异；</w:t>
      </w:r>
      <w:bookmarkEnd w:id="138"/>
      <w:bookmarkEnd w:id="139"/>
    </w:p>
    <w:p w14:paraId="504F0203">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0" w:name="_Toc8708"/>
      <w:bookmarkStart w:id="141" w:name="_Toc2932"/>
      <w:r>
        <w:rPr>
          <w:rFonts w:hint="eastAsia" w:ascii="宋体" w:hAnsi="宋体" w:eastAsia="宋体" w:cs="仿宋"/>
          <w:b w:val="0"/>
          <w:bCs/>
          <w:color w:val="000000"/>
          <w:kern w:val="0"/>
          <w:sz w:val="24"/>
          <w:szCs w:val="24"/>
          <w:lang w:val="en-US" w:eastAsia="zh-CN" w:bidi="ar-SA"/>
        </w:rPr>
        <w:t>B1.2.9不同供应商的响应文件错漏之处一致的；</w:t>
      </w:r>
      <w:bookmarkEnd w:id="140"/>
      <w:bookmarkEnd w:id="141"/>
    </w:p>
    <w:p w14:paraId="290118E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2" w:name="_Toc27572"/>
      <w:bookmarkStart w:id="143" w:name="_Toc587"/>
      <w:r>
        <w:rPr>
          <w:rFonts w:hint="eastAsia" w:ascii="宋体" w:hAnsi="宋体" w:eastAsia="宋体" w:cs="仿宋"/>
          <w:b w:val="0"/>
          <w:bCs/>
          <w:color w:val="000000"/>
          <w:kern w:val="0"/>
          <w:sz w:val="24"/>
          <w:szCs w:val="24"/>
          <w:lang w:val="en-US" w:eastAsia="zh-CN" w:bidi="ar-SA"/>
        </w:rPr>
        <w:t>B1.2.10不同供应商的响应文件相互混装；</w:t>
      </w:r>
      <w:bookmarkEnd w:id="142"/>
      <w:bookmarkEnd w:id="143"/>
    </w:p>
    <w:p w14:paraId="5995FA2A">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4" w:name="_Toc11508"/>
      <w:bookmarkStart w:id="145" w:name="_Toc22881"/>
      <w:r>
        <w:rPr>
          <w:rFonts w:hint="eastAsia" w:ascii="宋体" w:hAnsi="宋体" w:eastAsia="宋体" w:cs="仿宋"/>
          <w:b w:val="0"/>
          <w:bCs/>
          <w:color w:val="000000"/>
          <w:kern w:val="0"/>
          <w:sz w:val="24"/>
          <w:szCs w:val="24"/>
          <w:lang w:val="en-US" w:eastAsia="zh-CN" w:bidi="ar-SA"/>
        </w:rPr>
        <w:t>B1.2.11不同供应商的响应文件由同一台电脑编制或者同一台附属设备打印；</w:t>
      </w:r>
      <w:bookmarkEnd w:id="144"/>
      <w:bookmarkEnd w:id="145"/>
    </w:p>
    <w:p w14:paraId="6FDD056D">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6" w:name="_Toc3770"/>
      <w:bookmarkStart w:id="147" w:name="_Toc7991"/>
      <w:r>
        <w:rPr>
          <w:rFonts w:hint="eastAsia" w:ascii="宋体" w:hAnsi="宋体" w:eastAsia="宋体" w:cs="仿宋"/>
          <w:b w:val="0"/>
          <w:bCs/>
          <w:color w:val="000000"/>
          <w:kern w:val="0"/>
          <w:sz w:val="24"/>
          <w:szCs w:val="24"/>
          <w:lang w:val="en-US" w:eastAsia="zh-CN" w:bidi="ar-SA"/>
        </w:rPr>
        <w:t>B1.2.12不同供应商的谈判保证金从同一单位或者个人的账户转出；</w:t>
      </w:r>
      <w:bookmarkEnd w:id="146"/>
      <w:bookmarkEnd w:id="147"/>
    </w:p>
    <w:p w14:paraId="5429155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8" w:name="_Toc13968"/>
      <w:bookmarkStart w:id="149" w:name="_Toc13210"/>
      <w:r>
        <w:rPr>
          <w:rFonts w:hint="eastAsia" w:ascii="宋体" w:hAnsi="宋体" w:eastAsia="宋体" w:cs="仿宋"/>
          <w:b w:val="0"/>
          <w:bCs/>
          <w:color w:val="000000"/>
          <w:kern w:val="0"/>
          <w:sz w:val="24"/>
          <w:szCs w:val="24"/>
          <w:lang w:val="en-US" w:eastAsia="zh-CN" w:bidi="ar-SA"/>
        </w:rPr>
        <w:t>B1.2.13不同供应商使用同一个人或者企业资金交纳响应保证金或者响应保函的反担保的；</w:t>
      </w:r>
      <w:bookmarkEnd w:id="148"/>
      <w:bookmarkEnd w:id="149"/>
    </w:p>
    <w:p w14:paraId="11A68614">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0" w:name="_Toc19806"/>
      <w:bookmarkStart w:id="151" w:name="_Toc16474"/>
      <w:r>
        <w:rPr>
          <w:rFonts w:hint="eastAsia" w:ascii="宋体" w:hAnsi="宋体" w:eastAsia="宋体" w:cs="仿宋"/>
          <w:b w:val="0"/>
          <w:bCs/>
          <w:color w:val="000000"/>
          <w:kern w:val="0"/>
          <w:sz w:val="24"/>
          <w:szCs w:val="24"/>
          <w:lang w:val="en-US" w:eastAsia="zh-CN" w:bidi="ar-SA"/>
        </w:rPr>
        <w:t>B1.2.14使用伪造、变造的许可证件；</w:t>
      </w:r>
      <w:bookmarkEnd w:id="150"/>
      <w:bookmarkEnd w:id="151"/>
    </w:p>
    <w:p w14:paraId="50BB5AF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2" w:name="_Toc21578"/>
      <w:bookmarkStart w:id="153" w:name="_Toc29175"/>
      <w:r>
        <w:rPr>
          <w:rFonts w:hint="eastAsia" w:ascii="宋体" w:hAnsi="宋体" w:eastAsia="宋体" w:cs="仿宋"/>
          <w:b w:val="0"/>
          <w:bCs/>
          <w:color w:val="000000"/>
          <w:kern w:val="0"/>
          <w:sz w:val="24"/>
          <w:szCs w:val="24"/>
          <w:lang w:val="en-US" w:eastAsia="zh-CN" w:bidi="ar-SA"/>
        </w:rPr>
        <w:t>B1.2.15提供虚假的财务状况或者业绩；</w:t>
      </w:r>
      <w:bookmarkEnd w:id="152"/>
      <w:bookmarkEnd w:id="153"/>
    </w:p>
    <w:p w14:paraId="5BE0F5E8">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4" w:name="_Toc2666"/>
      <w:bookmarkStart w:id="155" w:name="_Toc9474"/>
      <w:r>
        <w:rPr>
          <w:rFonts w:hint="eastAsia" w:ascii="宋体" w:hAnsi="宋体" w:eastAsia="宋体" w:cs="仿宋"/>
          <w:b w:val="0"/>
          <w:bCs/>
          <w:color w:val="000000"/>
          <w:kern w:val="0"/>
          <w:sz w:val="24"/>
          <w:szCs w:val="24"/>
          <w:lang w:val="en-US" w:eastAsia="zh-CN" w:bidi="ar-SA"/>
        </w:rPr>
        <w:t>B1.2.16提供虚假的信用状况；</w:t>
      </w:r>
      <w:bookmarkEnd w:id="154"/>
      <w:bookmarkEnd w:id="155"/>
    </w:p>
    <w:p w14:paraId="5B1792A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6" w:name="_Toc27633"/>
      <w:bookmarkStart w:id="157" w:name="_Toc23179"/>
      <w:r>
        <w:rPr>
          <w:rFonts w:hint="eastAsia" w:ascii="宋体" w:hAnsi="宋体" w:eastAsia="宋体" w:cs="仿宋"/>
          <w:b w:val="0"/>
          <w:bCs/>
          <w:color w:val="000000"/>
          <w:kern w:val="0"/>
          <w:sz w:val="24"/>
          <w:szCs w:val="24"/>
          <w:lang w:val="en-US" w:eastAsia="zh-CN" w:bidi="ar-SA"/>
        </w:rPr>
        <w:t>B1.2.17其他弄虚作假的行为；</w:t>
      </w:r>
      <w:bookmarkEnd w:id="156"/>
      <w:bookmarkEnd w:id="157"/>
    </w:p>
    <w:p w14:paraId="737CBAF4">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8" w:name="_Toc4045"/>
      <w:bookmarkStart w:id="159" w:name="_Toc22832"/>
      <w:r>
        <w:rPr>
          <w:rFonts w:hint="eastAsia" w:ascii="宋体" w:hAnsi="宋体" w:eastAsia="宋体" w:cs="仿宋"/>
          <w:b w:val="0"/>
          <w:bCs/>
          <w:color w:val="000000"/>
          <w:kern w:val="0"/>
          <w:sz w:val="24"/>
          <w:szCs w:val="24"/>
          <w:lang w:val="en-US" w:eastAsia="zh-CN" w:bidi="ar-SA"/>
        </w:rPr>
        <w:t>B1.2.18采购人在谈判前开启响应文件并将有关信息泄露给其他供应商；</w:t>
      </w:r>
      <w:bookmarkEnd w:id="158"/>
      <w:bookmarkEnd w:id="159"/>
    </w:p>
    <w:p w14:paraId="65262504">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0" w:name="_Toc7642"/>
      <w:bookmarkStart w:id="161" w:name="_Toc3700"/>
      <w:r>
        <w:rPr>
          <w:rFonts w:hint="eastAsia" w:ascii="宋体" w:hAnsi="宋体" w:eastAsia="宋体" w:cs="仿宋"/>
          <w:b w:val="0"/>
          <w:bCs/>
          <w:color w:val="000000"/>
          <w:kern w:val="0"/>
          <w:sz w:val="24"/>
          <w:szCs w:val="24"/>
          <w:lang w:val="en-US" w:eastAsia="zh-CN" w:bidi="ar-SA"/>
        </w:rPr>
        <w:t>B1.2.19采购人直接或者间接向供应商泄露底价、评审委员会成员等信息；</w:t>
      </w:r>
      <w:bookmarkEnd w:id="160"/>
      <w:bookmarkEnd w:id="161"/>
    </w:p>
    <w:p w14:paraId="2991CC13">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2" w:name="_Toc9473"/>
      <w:bookmarkStart w:id="163" w:name="_Toc5952"/>
      <w:r>
        <w:rPr>
          <w:rFonts w:hint="eastAsia" w:ascii="宋体" w:hAnsi="宋体" w:eastAsia="宋体" w:cs="仿宋"/>
          <w:b w:val="0"/>
          <w:bCs/>
          <w:color w:val="000000"/>
          <w:kern w:val="0"/>
          <w:sz w:val="24"/>
          <w:szCs w:val="24"/>
          <w:lang w:val="en-US" w:eastAsia="zh-CN" w:bidi="ar-SA"/>
        </w:rPr>
        <w:t>B1.2.20采购人明示或者暗示供应商压低或者抬高报价；</w:t>
      </w:r>
      <w:bookmarkEnd w:id="162"/>
      <w:bookmarkEnd w:id="163"/>
    </w:p>
    <w:p w14:paraId="02F0DD75">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4" w:name="_Toc2893"/>
      <w:bookmarkStart w:id="165" w:name="_Toc25670"/>
      <w:r>
        <w:rPr>
          <w:rFonts w:hint="eastAsia" w:ascii="宋体" w:hAnsi="宋体" w:eastAsia="宋体" w:cs="仿宋"/>
          <w:b w:val="0"/>
          <w:bCs/>
          <w:color w:val="000000"/>
          <w:kern w:val="0"/>
          <w:sz w:val="24"/>
          <w:szCs w:val="24"/>
          <w:lang w:val="en-US" w:eastAsia="zh-CN" w:bidi="ar-SA"/>
        </w:rPr>
        <w:t>B1.2.21采购人授意供应商撤换、修改响应文件；</w:t>
      </w:r>
      <w:bookmarkEnd w:id="164"/>
      <w:bookmarkEnd w:id="165"/>
    </w:p>
    <w:p w14:paraId="5292C91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6" w:name="_Toc9700"/>
      <w:bookmarkStart w:id="167" w:name="_Toc13206"/>
      <w:r>
        <w:rPr>
          <w:rFonts w:hint="eastAsia" w:ascii="宋体" w:hAnsi="宋体" w:eastAsia="宋体" w:cs="仿宋"/>
          <w:b w:val="0"/>
          <w:bCs/>
          <w:color w:val="000000"/>
          <w:kern w:val="0"/>
          <w:sz w:val="24"/>
          <w:szCs w:val="24"/>
          <w:lang w:val="en-US" w:eastAsia="zh-CN" w:bidi="ar-SA"/>
        </w:rPr>
        <w:t>B1.2.22采购人明示或者暗示供应商为特定供应商成交提供方便；</w:t>
      </w:r>
      <w:bookmarkEnd w:id="166"/>
      <w:bookmarkEnd w:id="167"/>
    </w:p>
    <w:p w14:paraId="6492C44B">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8" w:name="_Toc32227"/>
      <w:bookmarkStart w:id="169" w:name="_Toc2603"/>
      <w:r>
        <w:rPr>
          <w:rFonts w:hint="eastAsia" w:ascii="宋体" w:hAnsi="宋体" w:eastAsia="宋体" w:cs="仿宋"/>
          <w:b w:val="0"/>
          <w:bCs/>
          <w:color w:val="000000"/>
          <w:kern w:val="0"/>
          <w:sz w:val="24"/>
          <w:szCs w:val="24"/>
          <w:lang w:val="en-US" w:eastAsia="zh-CN" w:bidi="ar-SA"/>
        </w:rPr>
        <w:t>B1.2.23采购人与供应商为谋求特定供应商成交而采取的其他串通行为；</w:t>
      </w:r>
      <w:bookmarkEnd w:id="168"/>
      <w:bookmarkEnd w:id="169"/>
    </w:p>
    <w:p w14:paraId="3F7232F5">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0" w:name="_Toc6004"/>
      <w:bookmarkStart w:id="171" w:name="_Toc14431"/>
      <w:r>
        <w:rPr>
          <w:rFonts w:hint="eastAsia" w:ascii="宋体" w:hAnsi="宋体" w:eastAsia="宋体" w:cs="仿宋"/>
          <w:b w:val="0"/>
          <w:bCs/>
          <w:color w:val="000000"/>
          <w:kern w:val="0"/>
          <w:sz w:val="24"/>
          <w:szCs w:val="24"/>
          <w:lang w:val="en-US" w:eastAsia="zh-CN" w:bidi="ar-SA"/>
        </w:rPr>
        <w:t>B1.2.24评审委员会认定的其他串通情形；</w:t>
      </w:r>
      <w:bookmarkEnd w:id="170"/>
      <w:bookmarkEnd w:id="171"/>
    </w:p>
    <w:p w14:paraId="48F0CAC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2" w:name="_Toc23431"/>
      <w:bookmarkStart w:id="173" w:name="_Toc22876"/>
      <w:r>
        <w:rPr>
          <w:rFonts w:hint="eastAsia" w:ascii="宋体" w:hAnsi="宋体" w:eastAsia="宋体" w:cs="仿宋"/>
          <w:b w:val="0"/>
          <w:bCs/>
          <w:color w:val="000000"/>
          <w:kern w:val="0"/>
          <w:sz w:val="24"/>
          <w:szCs w:val="24"/>
          <w:lang w:val="en-US" w:eastAsia="zh-CN" w:bidi="ar-SA"/>
        </w:rPr>
        <w:t>B1.3不按评审委员会要求澄清、说明或补正的。</w:t>
      </w:r>
      <w:bookmarkEnd w:id="172"/>
      <w:bookmarkEnd w:id="173"/>
    </w:p>
    <w:p w14:paraId="50672825">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4" w:name="_Toc32136"/>
      <w:bookmarkStart w:id="175" w:name="_Toc11885"/>
      <w:r>
        <w:rPr>
          <w:rFonts w:hint="eastAsia" w:ascii="宋体" w:hAnsi="宋体" w:eastAsia="宋体" w:cs="仿宋"/>
          <w:b w:val="0"/>
          <w:bCs/>
          <w:color w:val="000000"/>
          <w:kern w:val="0"/>
          <w:sz w:val="24"/>
          <w:szCs w:val="24"/>
          <w:lang w:val="en-US" w:eastAsia="zh-CN" w:bidi="ar-SA"/>
        </w:rPr>
        <w:t>B1.4在形式评审、资格评审（适用于未进行资格预审的）、响应性评审中，评审委员会认定供应商的响应文件不符合评审办法前附表中规定的任何一项评审标准的。</w:t>
      </w:r>
      <w:bookmarkEnd w:id="174"/>
      <w:bookmarkEnd w:id="175"/>
    </w:p>
    <w:p w14:paraId="20BDEB8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6" w:name="_Toc7628"/>
      <w:bookmarkStart w:id="177" w:name="_Toc9229"/>
      <w:r>
        <w:rPr>
          <w:rFonts w:hint="eastAsia" w:ascii="宋体" w:hAnsi="宋体" w:eastAsia="宋体" w:cs="仿宋"/>
          <w:b w:val="0"/>
          <w:bCs/>
          <w:color w:val="000000"/>
          <w:kern w:val="0"/>
          <w:sz w:val="24"/>
          <w:szCs w:val="24"/>
          <w:lang w:val="en-US" w:eastAsia="zh-CN" w:bidi="ar-SA"/>
        </w:rPr>
        <w:t>B1.5当供应商资格预审申请文件的内容发生重大变化时，其在响应文件中更新的资料，未能通过资格评审的（适用于已进行资格预审的）。</w:t>
      </w:r>
      <w:bookmarkEnd w:id="176"/>
      <w:bookmarkEnd w:id="177"/>
    </w:p>
    <w:p w14:paraId="74220CE8">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8" w:name="_Toc21797"/>
      <w:bookmarkStart w:id="179" w:name="_Toc28698"/>
      <w:r>
        <w:rPr>
          <w:rFonts w:hint="eastAsia" w:ascii="宋体" w:hAnsi="宋体" w:eastAsia="宋体" w:cs="仿宋"/>
          <w:b w:val="0"/>
          <w:bCs/>
          <w:color w:val="000000"/>
          <w:kern w:val="0"/>
          <w:sz w:val="24"/>
          <w:szCs w:val="24"/>
          <w:lang w:val="en-US" w:eastAsia="zh-CN" w:bidi="ar-SA"/>
        </w:rPr>
        <w:t>B1.6在技术和资信评审中，评审委员会认定供应商的响应未能通过此项评审的。</w:t>
      </w:r>
      <w:bookmarkEnd w:id="178"/>
      <w:bookmarkEnd w:id="179"/>
    </w:p>
    <w:p w14:paraId="1256868D">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0" w:name="_Toc5012"/>
      <w:bookmarkStart w:id="181" w:name="_Toc13603"/>
      <w:r>
        <w:rPr>
          <w:rFonts w:hint="eastAsia" w:ascii="宋体" w:hAnsi="宋体" w:eastAsia="宋体" w:cs="仿宋"/>
          <w:b w:val="0"/>
          <w:bCs/>
          <w:color w:val="000000"/>
          <w:kern w:val="0"/>
          <w:sz w:val="24"/>
          <w:szCs w:val="24"/>
          <w:lang w:val="en-US" w:eastAsia="zh-CN" w:bidi="ar-SA"/>
        </w:rPr>
        <w:t>B1.7评审委员会认定供应商以低于成本报价竞争的。</w:t>
      </w:r>
      <w:bookmarkEnd w:id="180"/>
      <w:bookmarkEnd w:id="181"/>
    </w:p>
    <w:p w14:paraId="7D8DAAFD">
      <w:pPr>
        <w:pStyle w:val="22"/>
        <w:rPr>
          <w:color w:val="auto"/>
        </w:rPr>
      </w:pPr>
      <w:bookmarkStart w:id="182" w:name="_Toc32709"/>
      <w:r>
        <w:rPr>
          <w:rFonts w:hint="eastAsia"/>
          <w:color w:val="auto"/>
        </w:rPr>
        <w:t xml:space="preserve">第三章  </w:t>
      </w:r>
      <w:r>
        <w:rPr>
          <w:rFonts w:hint="eastAsia"/>
          <w:color w:val="auto"/>
          <w:lang w:eastAsia="zh-CN"/>
        </w:rPr>
        <w:t>评审</w:t>
      </w:r>
      <w:r>
        <w:rPr>
          <w:rFonts w:hint="eastAsia"/>
          <w:color w:val="auto"/>
        </w:rPr>
        <w:t>办法</w:t>
      </w:r>
      <w:bookmarkEnd w:id="108"/>
      <w:bookmarkEnd w:id="109"/>
      <w:bookmarkEnd w:id="182"/>
    </w:p>
    <w:p w14:paraId="30773CD7">
      <w:pPr>
        <w:tabs>
          <w:tab w:val="left" w:pos="6237"/>
        </w:tabs>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为规范</w:t>
      </w:r>
      <w:r>
        <w:rPr>
          <w:rFonts w:hint="eastAsia" w:cs="仿宋"/>
          <w:bCs/>
          <w:color w:val="auto"/>
          <w:kern w:val="0"/>
          <w:sz w:val="24"/>
          <w:lang w:val="en-US" w:eastAsia="zh-CN"/>
        </w:rPr>
        <w:t>谈判</w:t>
      </w:r>
      <w:r>
        <w:rPr>
          <w:rFonts w:hint="eastAsia" w:ascii="宋体" w:hAnsi="宋体" w:cs="仿宋"/>
          <w:bCs/>
          <w:color w:val="auto"/>
          <w:kern w:val="0"/>
          <w:sz w:val="24"/>
        </w:rPr>
        <w:t>工作，制定本办法。</w:t>
      </w:r>
    </w:p>
    <w:p w14:paraId="711E2039">
      <w:pPr>
        <w:spacing w:line="360" w:lineRule="auto"/>
        <w:rPr>
          <w:rFonts w:ascii="宋体" w:hAnsi="宋体" w:cs="仿宋"/>
          <w:color w:val="auto"/>
          <w:kern w:val="0"/>
          <w:sz w:val="24"/>
        </w:rPr>
      </w:pPr>
      <w:r>
        <w:rPr>
          <w:rFonts w:hint="eastAsia" w:ascii="宋体" w:hAnsi="宋体" w:cs="仿宋"/>
          <w:color w:val="auto"/>
          <w:kern w:val="0"/>
          <w:sz w:val="24"/>
        </w:rPr>
        <w:t>一、评审方法</w:t>
      </w:r>
    </w:p>
    <w:p w14:paraId="4206041E">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按</w:t>
      </w:r>
      <w:r>
        <w:rPr>
          <w:rFonts w:hint="eastAsia" w:cs="仿宋"/>
          <w:bCs/>
          <w:color w:val="auto"/>
          <w:kern w:val="0"/>
          <w:sz w:val="24"/>
          <w:lang w:val="en-US" w:eastAsia="zh-CN"/>
        </w:rPr>
        <w:t>综合评估法</w:t>
      </w:r>
      <w:r>
        <w:rPr>
          <w:rFonts w:hint="eastAsia" w:ascii="宋体" w:hAnsi="宋体" w:cs="仿宋"/>
          <w:bCs/>
          <w:color w:val="auto"/>
          <w:kern w:val="0"/>
          <w:sz w:val="24"/>
        </w:rPr>
        <w:t>进行</w:t>
      </w:r>
      <w:r>
        <w:rPr>
          <w:rFonts w:hint="eastAsia" w:cs="仿宋"/>
          <w:bCs/>
          <w:color w:val="auto"/>
          <w:kern w:val="0"/>
          <w:sz w:val="24"/>
          <w:lang w:eastAsia="zh-CN"/>
        </w:rPr>
        <w:t>评审</w:t>
      </w:r>
      <w:r>
        <w:rPr>
          <w:rFonts w:hint="eastAsia" w:ascii="宋体" w:hAnsi="宋体" w:cs="仿宋"/>
          <w:bCs/>
          <w:color w:val="auto"/>
          <w:kern w:val="0"/>
          <w:sz w:val="24"/>
        </w:rPr>
        <w:t>。</w:t>
      </w:r>
    </w:p>
    <w:p w14:paraId="63712336">
      <w:pPr>
        <w:spacing w:line="360" w:lineRule="auto"/>
        <w:rPr>
          <w:rFonts w:ascii="宋体" w:hAnsi="宋体" w:cs="仿宋"/>
          <w:color w:val="auto"/>
          <w:kern w:val="0"/>
          <w:sz w:val="24"/>
        </w:rPr>
      </w:pPr>
      <w:r>
        <w:rPr>
          <w:rFonts w:hint="eastAsia" w:ascii="宋体" w:hAnsi="宋体" w:cs="仿宋"/>
          <w:bCs/>
          <w:color w:val="auto"/>
          <w:kern w:val="0"/>
          <w:sz w:val="24"/>
        </w:rPr>
        <w:t>二、</w:t>
      </w:r>
      <w:r>
        <w:rPr>
          <w:rFonts w:hint="eastAsia" w:cs="仿宋"/>
          <w:bCs/>
          <w:color w:val="auto"/>
          <w:kern w:val="0"/>
          <w:sz w:val="24"/>
          <w:lang w:eastAsia="zh-CN"/>
        </w:rPr>
        <w:t>评审</w:t>
      </w:r>
      <w:r>
        <w:rPr>
          <w:rFonts w:hint="eastAsia" w:ascii="宋体" w:hAnsi="宋体" w:cs="仿宋"/>
          <w:bCs/>
          <w:color w:val="auto"/>
          <w:kern w:val="0"/>
          <w:sz w:val="24"/>
        </w:rPr>
        <w:t>原则</w:t>
      </w:r>
    </w:p>
    <w:p w14:paraId="39C53B9F">
      <w:pPr>
        <w:spacing w:line="360" w:lineRule="auto"/>
        <w:ind w:firstLine="480" w:firstLineChars="200"/>
        <w:rPr>
          <w:rFonts w:ascii="宋体" w:hAnsi="宋体" w:cs="仿宋"/>
          <w:color w:val="auto"/>
          <w:kern w:val="0"/>
          <w:sz w:val="24"/>
        </w:rPr>
      </w:pPr>
      <w:r>
        <w:rPr>
          <w:rFonts w:hint="eastAsia" w:cs="仿宋"/>
          <w:bCs/>
          <w:color w:val="auto"/>
          <w:kern w:val="0"/>
          <w:sz w:val="24"/>
          <w:lang w:eastAsia="zh-CN"/>
        </w:rPr>
        <w:t>评审</w:t>
      </w:r>
      <w:r>
        <w:rPr>
          <w:rFonts w:hint="eastAsia" w:ascii="宋体" w:hAnsi="宋体" w:cs="仿宋"/>
          <w:bCs/>
          <w:color w:val="auto"/>
          <w:kern w:val="0"/>
          <w:sz w:val="24"/>
        </w:rPr>
        <w:t>遵循公平、公正、科学、择优的原则。</w:t>
      </w:r>
    </w:p>
    <w:p w14:paraId="13F8637E">
      <w:pPr>
        <w:spacing w:line="360" w:lineRule="auto"/>
        <w:rPr>
          <w:rFonts w:ascii="宋体" w:hAnsi="宋体" w:cs="仿宋"/>
          <w:color w:val="auto"/>
          <w:kern w:val="0"/>
          <w:sz w:val="24"/>
        </w:rPr>
      </w:pPr>
      <w:r>
        <w:rPr>
          <w:rFonts w:hint="eastAsia" w:ascii="宋体" w:hAnsi="宋体" w:cs="仿宋"/>
          <w:bCs/>
          <w:color w:val="auto"/>
          <w:kern w:val="0"/>
          <w:sz w:val="24"/>
        </w:rPr>
        <w:t>三、</w:t>
      </w:r>
      <w:r>
        <w:rPr>
          <w:rFonts w:hint="eastAsia" w:cs="仿宋"/>
          <w:bCs/>
          <w:color w:val="auto"/>
          <w:kern w:val="0"/>
          <w:sz w:val="24"/>
          <w:lang w:eastAsia="zh-CN"/>
        </w:rPr>
        <w:t>评审</w:t>
      </w:r>
      <w:r>
        <w:rPr>
          <w:rFonts w:hint="eastAsia" w:ascii="宋体" w:hAnsi="宋体" w:cs="仿宋"/>
          <w:bCs/>
          <w:color w:val="auto"/>
          <w:kern w:val="0"/>
          <w:sz w:val="24"/>
        </w:rPr>
        <w:t>组织及服务</w:t>
      </w:r>
    </w:p>
    <w:p w14:paraId="416B0E3B">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1、为做好</w:t>
      </w:r>
      <w:r>
        <w:rPr>
          <w:rFonts w:hint="eastAsia" w:cs="仿宋"/>
          <w:bCs/>
          <w:color w:val="auto"/>
          <w:kern w:val="0"/>
          <w:sz w:val="24"/>
          <w:lang w:eastAsia="zh-CN"/>
        </w:rPr>
        <w:t>评审</w:t>
      </w:r>
      <w:r>
        <w:rPr>
          <w:rFonts w:hint="eastAsia" w:ascii="宋体" w:hAnsi="宋体" w:cs="仿宋"/>
          <w:bCs/>
          <w:color w:val="auto"/>
          <w:kern w:val="0"/>
          <w:sz w:val="24"/>
        </w:rPr>
        <w:t>工作，成立</w:t>
      </w:r>
      <w:r>
        <w:rPr>
          <w:rFonts w:hint="eastAsia" w:cs="仿宋"/>
          <w:bCs/>
          <w:color w:val="auto"/>
          <w:kern w:val="0"/>
          <w:sz w:val="24"/>
          <w:lang w:eastAsia="zh-CN"/>
        </w:rPr>
        <w:t>评审</w:t>
      </w:r>
      <w:r>
        <w:rPr>
          <w:rFonts w:hint="eastAsia" w:ascii="宋体" w:hAnsi="宋体" w:cs="仿宋"/>
          <w:bCs/>
          <w:color w:val="auto"/>
          <w:kern w:val="0"/>
          <w:sz w:val="24"/>
        </w:rPr>
        <w:t>委员会和工作小组。</w:t>
      </w:r>
    </w:p>
    <w:p w14:paraId="1F863D0A">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w:t>
      </w:r>
    </w:p>
    <w:p w14:paraId="6547D422">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2.1</w:t>
      </w:r>
      <w:r>
        <w:rPr>
          <w:rFonts w:hint="eastAsia" w:cs="仿宋"/>
          <w:bCs/>
          <w:color w:val="auto"/>
          <w:kern w:val="0"/>
          <w:sz w:val="24"/>
          <w:lang w:eastAsia="zh-CN"/>
        </w:rPr>
        <w:t>评审</w:t>
      </w:r>
      <w:r>
        <w:rPr>
          <w:rFonts w:hint="eastAsia" w:ascii="宋体" w:hAnsi="宋体" w:cs="仿宋"/>
          <w:bCs/>
          <w:color w:val="auto"/>
          <w:kern w:val="0"/>
          <w:sz w:val="24"/>
        </w:rPr>
        <w:t>委员会由</w:t>
      </w:r>
      <w:r>
        <w:rPr>
          <w:rFonts w:hint="eastAsia" w:cs="仿宋"/>
          <w:bCs/>
          <w:color w:val="auto"/>
          <w:kern w:val="0"/>
          <w:sz w:val="24"/>
          <w:lang w:val="en-US" w:eastAsia="zh-CN"/>
        </w:rPr>
        <w:t>采购</w:t>
      </w:r>
      <w:r>
        <w:rPr>
          <w:rFonts w:hint="eastAsia" w:ascii="宋体" w:hAnsi="宋体" w:cs="仿宋"/>
          <w:bCs/>
          <w:color w:val="auto"/>
          <w:kern w:val="0"/>
          <w:sz w:val="24"/>
        </w:rPr>
        <w:t>人依法组建，</w:t>
      </w:r>
      <w:r>
        <w:rPr>
          <w:rFonts w:hint="eastAsia" w:cs="仿宋"/>
          <w:bCs/>
          <w:color w:val="auto"/>
          <w:kern w:val="0"/>
          <w:sz w:val="24"/>
          <w:lang w:eastAsia="zh-CN"/>
        </w:rPr>
        <w:t>评审</w:t>
      </w:r>
      <w:r>
        <w:rPr>
          <w:rFonts w:hint="eastAsia" w:ascii="宋体" w:hAnsi="宋体" w:cs="仿宋"/>
          <w:bCs/>
          <w:color w:val="auto"/>
          <w:kern w:val="0"/>
          <w:sz w:val="24"/>
        </w:rPr>
        <w:t>委员会成员由</w:t>
      </w:r>
      <w:r>
        <w:rPr>
          <w:rFonts w:hint="eastAsia" w:cs="仿宋"/>
          <w:bCs/>
          <w:color w:val="auto"/>
          <w:kern w:val="0"/>
          <w:sz w:val="24"/>
          <w:lang w:eastAsia="zh-CN"/>
        </w:rPr>
        <w:t>采购人</w:t>
      </w:r>
      <w:r>
        <w:rPr>
          <w:rFonts w:hint="eastAsia" w:ascii="宋体" w:hAnsi="宋体" w:cs="仿宋"/>
          <w:bCs/>
          <w:color w:val="auto"/>
          <w:kern w:val="0"/>
          <w:sz w:val="24"/>
        </w:rPr>
        <w:t>代表及熟悉相关业务的有关技术、经济等方面的专家组成。</w:t>
      </w:r>
    </w:p>
    <w:p w14:paraId="33B125EE">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2.2</w:t>
      </w:r>
      <w:r>
        <w:rPr>
          <w:rFonts w:hint="eastAsia" w:cs="仿宋"/>
          <w:bCs/>
          <w:color w:val="auto"/>
          <w:kern w:val="0"/>
          <w:sz w:val="24"/>
          <w:lang w:eastAsia="zh-CN"/>
        </w:rPr>
        <w:t>评审</w:t>
      </w:r>
      <w:r>
        <w:rPr>
          <w:rFonts w:hint="eastAsia" w:ascii="宋体" w:hAnsi="宋体" w:cs="仿宋"/>
          <w:bCs/>
          <w:color w:val="auto"/>
          <w:kern w:val="0"/>
          <w:sz w:val="24"/>
        </w:rPr>
        <w:t>委员会成员为</w:t>
      </w:r>
      <w:r>
        <w:rPr>
          <w:rFonts w:hint="eastAsia" w:cs="仿宋"/>
          <w:bCs/>
          <w:color w:val="auto"/>
          <w:kern w:val="0"/>
          <w:sz w:val="24"/>
          <w:lang w:val="en-US" w:eastAsia="zh-CN"/>
        </w:rPr>
        <w:t>3</w:t>
      </w:r>
      <w:r>
        <w:rPr>
          <w:rFonts w:hint="eastAsia" w:ascii="宋体" w:hAnsi="宋体" w:cs="仿宋"/>
          <w:bCs/>
          <w:color w:val="auto"/>
          <w:kern w:val="0"/>
          <w:sz w:val="24"/>
        </w:rPr>
        <w:t>人及以上单数。</w:t>
      </w:r>
    </w:p>
    <w:p w14:paraId="1C93BF0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2.3</w:t>
      </w:r>
      <w:r>
        <w:rPr>
          <w:rFonts w:hint="eastAsia" w:cs="仿宋"/>
          <w:bCs/>
          <w:color w:val="auto"/>
          <w:kern w:val="0"/>
          <w:sz w:val="24"/>
          <w:lang w:eastAsia="zh-CN"/>
        </w:rPr>
        <w:t>评审</w:t>
      </w:r>
      <w:r>
        <w:rPr>
          <w:rFonts w:hint="eastAsia" w:ascii="宋体" w:hAnsi="宋体" w:cs="仿宋"/>
          <w:bCs/>
          <w:color w:val="auto"/>
          <w:kern w:val="0"/>
          <w:sz w:val="24"/>
        </w:rPr>
        <w:t>工作由</w:t>
      </w:r>
      <w:r>
        <w:rPr>
          <w:rFonts w:hint="eastAsia" w:cs="仿宋"/>
          <w:bCs/>
          <w:color w:val="auto"/>
          <w:kern w:val="0"/>
          <w:sz w:val="24"/>
          <w:lang w:eastAsia="zh-CN"/>
        </w:rPr>
        <w:t>评审</w:t>
      </w:r>
      <w:r>
        <w:rPr>
          <w:rFonts w:hint="eastAsia" w:ascii="宋体" w:hAnsi="宋体" w:cs="仿宋"/>
          <w:bCs/>
          <w:color w:val="auto"/>
          <w:kern w:val="0"/>
          <w:sz w:val="24"/>
        </w:rPr>
        <w:t>委员会负责。</w:t>
      </w:r>
    </w:p>
    <w:p w14:paraId="737FEA6D">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3、工作小组</w:t>
      </w:r>
    </w:p>
    <w:p w14:paraId="6EF9C1F3">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3.1由</w:t>
      </w:r>
      <w:r>
        <w:rPr>
          <w:rFonts w:hint="eastAsia" w:cs="仿宋"/>
          <w:bCs/>
          <w:color w:val="auto"/>
          <w:kern w:val="0"/>
          <w:sz w:val="24"/>
          <w:lang w:eastAsia="zh-CN"/>
        </w:rPr>
        <w:t>采购人</w:t>
      </w:r>
      <w:r>
        <w:rPr>
          <w:rFonts w:hint="eastAsia" w:ascii="宋体" w:hAnsi="宋体" w:cs="仿宋"/>
          <w:bCs/>
          <w:color w:val="auto"/>
          <w:kern w:val="0"/>
          <w:sz w:val="24"/>
        </w:rPr>
        <w:t>组成工作小组，为</w:t>
      </w:r>
      <w:r>
        <w:rPr>
          <w:rFonts w:hint="eastAsia" w:cs="仿宋"/>
          <w:bCs/>
          <w:color w:val="auto"/>
          <w:kern w:val="0"/>
          <w:sz w:val="24"/>
          <w:lang w:eastAsia="zh-CN"/>
        </w:rPr>
        <w:t>评审</w:t>
      </w:r>
      <w:r>
        <w:rPr>
          <w:rFonts w:hint="eastAsia" w:ascii="宋体" w:hAnsi="宋体" w:cs="仿宋"/>
          <w:bCs/>
          <w:color w:val="auto"/>
          <w:kern w:val="0"/>
          <w:sz w:val="24"/>
        </w:rPr>
        <w:t>委员会服务。</w:t>
      </w:r>
    </w:p>
    <w:p w14:paraId="2273923E">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3.2工作小组承担保管</w:t>
      </w:r>
      <w:r>
        <w:rPr>
          <w:rFonts w:hint="eastAsia" w:cs="仿宋"/>
          <w:bCs/>
          <w:color w:val="auto"/>
          <w:kern w:val="0"/>
          <w:sz w:val="24"/>
          <w:lang w:val="en-US" w:eastAsia="zh-CN"/>
        </w:rPr>
        <w:t>谈判</w:t>
      </w:r>
      <w:r>
        <w:rPr>
          <w:rFonts w:hint="eastAsia" w:ascii="宋体" w:hAnsi="宋体" w:cs="仿宋"/>
          <w:bCs/>
          <w:color w:val="auto"/>
          <w:kern w:val="0"/>
          <w:sz w:val="24"/>
        </w:rPr>
        <w:t>文件、</w:t>
      </w:r>
      <w:r>
        <w:rPr>
          <w:rFonts w:hint="eastAsia" w:cs="仿宋"/>
          <w:bCs/>
          <w:color w:val="auto"/>
          <w:kern w:val="0"/>
          <w:sz w:val="24"/>
          <w:lang w:val="en-US" w:eastAsia="zh-CN"/>
        </w:rPr>
        <w:t>响应</w:t>
      </w:r>
      <w:r>
        <w:rPr>
          <w:rFonts w:hint="eastAsia" w:ascii="宋体" w:hAnsi="宋体" w:cs="仿宋"/>
          <w:bCs/>
          <w:color w:val="auto"/>
          <w:kern w:val="0"/>
          <w:sz w:val="24"/>
        </w:rPr>
        <w:t>文件、发放</w:t>
      </w:r>
      <w:r>
        <w:rPr>
          <w:rFonts w:hint="eastAsia" w:cs="仿宋"/>
          <w:bCs/>
          <w:color w:val="auto"/>
          <w:kern w:val="0"/>
          <w:sz w:val="24"/>
          <w:lang w:eastAsia="zh-CN"/>
        </w:rPr>
        <w:t>评审</w:t>
      </w:r>
      <w:r>
        <w:rPr>
          <w:rFonts w:hint="eastAsia" w:ascii="宋体" w:hAnsi="宋体" w:cs="仿宋"/>
          <w:bCs/>
          <w:color w:val="auto"/>
          <w:kern w:val="0"/>
          <w:sz w:val="24"/>
        </w:rPr>
        <w:t>资料、</w:t>
      </w:r>
      <w:r>
        <w:rPr>
          <w:rFonts w:hint="eastAsia" w:cs="仿宋"/>
          <w:bCs/>
          <w:color w:val="auto"/>
          <w:kern w:val="0"/>
          <w:sz w:val="24"/>
          <w:lang w:val="en-US" w:eastAsia="zh-CN"/>
        </w:rPr>
        <w:t>响应</w:t>
      </w:r>
      <w:r>
        <w:rPr>
          <w:rFonts w:hint="eastAsia" w:ascii="宋体" w:hAnsi="宋体" w:cs="仿宋"/>
          <w:bCs/>
          <w:color w:val="auto"/>
          <w:kern w:val="0"/>
          <w:sz w:val="24"/>
        </w:rPr>
        <w:t>文件摘录汇总、基础数据对比及会议服务。</w:t>
      </w:r>
    </w:p>
    <w:p w14:paraId="6147B0AA">
      <w:pPr>
        <w:spacing w:line="360" w:lineRule="auto"/>
        <w:rPr>
          <w:rFonts w:ascii="宋体" w:hAnsi="宋体" w:cs="仿宋"/>
          <w:bCs/>
          <w:color w:val="auto"/>
          <w:kern w:val="0"/>
          <w:sz w:val="24"/>
        </w:rPr>
      </w:pPr>
      <w:r>
        <w:rPr>
          <w:rFonts w:hint="eastAsia" w:ascii="宋体" w:hAnsi="宋体" w:cs="仿宋"/>
          <w:bCs/>
          <w:color w:val="auto"/>
          <w:kern w:val="0"/>
          <w:sz w:val="24"/>
        </w:rPr>
        <w:t>四、</w:t>
      </w:r>
      <w:r>
        <w:rPr>
          <w:rFonts w:hint="eastAsia" w:cs="仿宋"/>
          <w:bCs/>
          <w:color w:val="auto"/>
          <w:kern w:val="0"/>
          <w:sz w:val="24"/>
          <w:lang w:eastAsia="zh-CN"/>
        </w:rPr>
        <w:t>评审</w:t>
      </w:r>
      <w:r>
        <w:rPr>
          <w:rFonts w:hint="eastAsia" w:ascii="宋体" w:hAnsi="宋体" w:cs="仿宋"/>
          <w:bCs/>
          <w:color w:val="auto"/>
          <w:kern w:val="0"/>
          <w:sz w:val="24"/>
        </w:rPr>
        <w:t>程序及内容</w:t>
      </w:r>
    </w:p>
    <w:p w14:paraId="0E736A59">
      <w:pPr>
        <w:spacing w:line="360" w:lineRule="auto"/>
        <w:ind w:firstLine="420" w:firstLineChars="200"/>
        <w:rPr>
          <w:rFonts w:hint="eastAsia" w:cs="仿宋"/>
          <w:bCs/>
          <w:color w:val="auto"/>
        </w:rPr>
      </w:pPr>
      <w:r>
        <w:rPr>
          <w:rFonts w:hint="eastAsia" w:cs="仿宋"/>
          <w:bCs/>
          <w:color w:val="auto"/>
        </w:rPr>
        <w:t>1、</w:t>
      </w:r>
      <w:r>
        <w:rPr>
          <w:rFonts w:hint="eastAsia" w:cs="仿宋"/>
          <w:bCs/>
          <w:color w:val="auto"/>
          <w:lang w:val="en-US" w:eastAsia="zh-CN"/>
        </w:rPr>
        <w:t>评审</w:t>
      </w:r>
      <w:r>
        <w:rPr>
          <w:rFonts w:hint="eastAsia" w:cs="仿宋"/>
          <w:bCs/>
          <w:color w:val="auto"/>
        </w:rPr>
        <w:t>方法：由资格审查、综合</w:t>
      </w:r>
      <w:r>
        <w:rPr>
          <w:rFonts w:hint="eastAsia" w:cs="仿宋"/>
          <w:bCs/>
          <w:color w:val="auto"/>
          <w:lang w:val="en-US" w:eastAsia="zh-CN"/>
        </w:rPr>
        <w:t>评估</w:t>
      </w:r>
      <w:r>
        <w:rPr>
          <w:rFonts w:hint="eastAsia" w:cs="仿宋"/>
          <w:bCs/>
          <w:color w:val="auto"/>
        </w:rPr>
        <w:t>两部分。</w:t>
      </w:r>
    </w:p>
    <w:p w14:paraId="0A15956B">
      <w:pPr>
        <w:spacing w:line="360" w:lineRule="auto"/>
        <w:ind w:firstLine="420" w:firstLineChars="200"/>
        <w:rPr>
          <w:rFonts w:cs="仿宋"/>
          <w:bCs/>
          <w:color w:val="auto"/>
        </w:rPr>
      </w:pPr>
      <w:r>
        <w:rPr>
          <w:rFonts w:hint="eastAsia" w:cs="仿宋"/>
          <w:bCs/>
          <w:color w:val="auto"/>
        </w:rPr>
        <w:t>2、资格审查：按对</w:t>
      </w:r>
      <w:r>
        <w:rPr>
          <w:rFonts w:hint="eastAsia" w:cs="仿宋"/>
          <w:bCs/>
          <w:color w:val="auto"/>
          <w:lang w:val="en-US" w:eastAsia="zh-CN"/>
        </w:rPr>
        <w:t>供应商</w:t>
      </w:r>
      <w:r>
        <w:rPr>
          <w:rFonts w:hint="eastAsia" w:cs="仿宋"/>
          <w:bCs/>
          <w:color w:val="auto"/>
        </w:rPr>
        <w:t>的资格要求、缴纳保证金等情况进行</w:t>
      </w:r>
      <w:r>
        <w:rPr>
          <w:rFonts w:hint="eastAsia" w:cs="仿宋"/>
          <w:bCs/>
          <w:color w:val="auto"/>
          <w:lang w:val="en-US" w:eastAsia="zh-CN"/>
        </w:rPr>
        <w:t>评审</w:t>
      </w:r>
      <w:r>
        <w:rPr>
          <w:rFonts w:hint="eastAsia" w:cs="仿宋"/>
          <w:bCs/>
          <w:color w:val="auto"/>
        </w:rPr>
        <w:t>。详见《资格审查表》。</w:t>
      </w:r>
    </w:p>
    <w:p w14:paraId="48E80AB3">
      <w:pPr>
        <w:spacing w:line="360" w:lineRule="auto"/>
        <w:ind w:firstLine="420" w:firstLineChars="200"/>
        <w:rPr>
          <w:rFonts w:ascii="宋体" w:hAnsi="宋体" w:cs="仿宋"/>
          <w:bCs/>
          <w:color w:val="auto"/>
          <w:kern w:val="0"/>
          <w:sz w:val="24"/>
        </w:rPr>
      </w:pPr>
      <w:r>
        <w:rPr>
          <w:rFonts w:hint="eastAsia" w:cs="仿宋"/>
          <w:bCs/>
          <w:color w:val="auto"/>
        </w:rPr>
        <w:t>3、综合</w:t>
      </w:r>
      <w:r>
        <w:rPr>
          <w:rFonts w:hint="eastAsia" w:cs="仿宋"/>
          <w:bCs/>
          <w:color w:val="auto"/>
          <w:lang w:val="en-US" w:eastAsia="zh-CN"/>
        </w:rPr>
        <w:t>评估</w:t>
      </w:r>
      <w:r>
        <w:rPr>
          <w:rFonts w:hint="eastAsia" w:cs="仿宋"/>
          <w:bCs/>
          <w:color w:val="auto"/>
        </w:rPr>
        <w:t>：通过资格审查后，根据</w:t>
      </w:r>
      <w:r>
        <w:rPr>
          <w:rFonts w:hint="eastAsia" w:cs="仿宋"/>
          <w:bCs/>
          <w:color w:val="auto"/>
          <w:lang w:val="en-US" w:eastAsia="zh-CN"/>
        </w:rPr>
        <w:t>供应商</w:t>
      </w:r>
      <w:r>
        <w:rPr>
          <w:rFonts w:hint="eastAsia" w:cs="仿宋"/>
          <w:bCs/>
          <w:color w:val="auto"/>
        </w:rPr>
        <w:t>的商务、技术和价格等进行综合</w:t>
      </w:r>
      <w:r>
        <w:rPr>
          <w:rFonts w:hint="eastAsia" w:cs="仿宋"/>
          <w:bCs/>
          <w:color w:val="auto"/>
          <w:lang w:val="en-US" w:eastAsia="zh-CN"/>
        </w:rPr>
        <w:t>评估</w:t>
      </w:r>
      <w:r>
        <w:rPr>
          <w:rFonts w:hint="eastAsia" w:cs="仿宋"/>
          <w:bCs/>
          <w:color w:val="auto"/>
        </w:rPr>
        <w:t>。</w:t>
      </w:r>
    </w:p>
    <w:p w14:paraId="0AB3A6F4">
      <w:pPr>
        <w:spacing w:line="360" w:lineRule="auto"/>
        <w:rPr>
          <w:rFonts w:ascii="宋体" w:hAnsi="宋体" w:cs="仿宋"/>
          <w:bCs/>
          <w:color w:val="auto"/>
          <w:kern w:val="0"/>
          <w:sz w:val="24"/>
        </w:rPr>
      </w:pPr>
      <w:r>
        <w:rPr>
          <w:rFonts w:hint="eastAsia" w:ascii="宋体" w:hAnsi="宋体" w:cs="仿宋"/>
          <w:bCs/>
          <w:color w:val="auto"/>
          <w:kern w:val="0"/>
          <w:sz w:val="24"/>
        </w:rPr>
        <w:t>五、</w:t>
      </w:r>
      <w:r>
        <w:rPr>
          <w:rFonts w:hint="eastAsia" w:cs="仿宋"/>
          <w:bCs/>
          <w:color w:val="auto"/>
          <w:kern w:val="0"/>
          <w:sz w:val="24"/>
          <w:lang w:eastAsia="zh-CN"/>
        </w:rPr>
        <w:t>评审</w:t>
      </w:r>
      <w:r>
        <w:rPr>
          <w:rFonts w:hint="eastAsia" w:ascii="宋体" w:hAnsi="宋体" w:cs="仿宋"/>
          <w:bCs/>
          <w:color w:val="auto"/>
          <w:kern w:val="0"/>
          <w:sz w:val="24"/>
        </w:rPr>
        <w:t>报告</w:t>
      </w:r>
    </w:p>
    <w:p w14:paraId="1721767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w:t>
      </w:r>
      <w:r>
        <w:rPr>
          <w:rFonts w:hint="eastAsia" w:cs="仿宋"/>
          <w:bCs/>
          <w:color w:val="auto"/>
          <w:kern w:val="0"/>
          <w:sz w:val="24"/>
          <w:lang w:eastAsia="zh-CN"/>
        </w:rPr>
        <w:t>评审</w:t>
      </w:r>
      <w:r>
        <w:rPr>
          <w:rFonts w:hint="eastAsia" w:ascii="宋体" w:hAnsi="宋体" w:cs="仿宋"/>
          <w:bCs/>
          <w:color w:val="auto"/>
          <w:kern w:val="0"/>
          <w:sz w:val="24"/>
        </w:rPr>
        <w:t>委员会根据</w:t>
      </w:r>
      <w:r>
        <w:rPr>
          <w:rFonts w:hint="eastAsia" w:cs="仿宋"/>
          <w:bCs/>
          <w:color w:val="auto"/>
          <w:kern w:val="0"/>
          <w:sz w:val="24"/>
          <w:lang w:eastAsia="zh-CN"/>
        </w:rPr>
        <w:t>评审</w:t>
      </w:r>
      <w:r>
        <w:rPr>
          <w:rFonts w:hint="eastAsia" w:ascii="宋体" w:hAnsi="宋体" w:cs="仿宋"/>
          <w:bCs/>
          <w:color w:val="auto"/>
          <w:kern w:val="0"/>
          <w:sz w:val="24"/>
        </w:rPr>
        <w:t>情况和结果，向</w:t>
      </w:r>
      <w:r>
        <w:rPr>
          <w:rFonts w:hint="eastAsia" w:cs="仿宋"/>
          <w:bCs/>
          <w:color w:val="auto"/>
          <w:kern w:val="0"/>
          <w:sz w:val="24"/>
          <w:lang w:eastAsia="zh-CN"/>
        </w:rPr>
        <w:t>采购人</w:t>
      </w:r>
      <w:r>
        <w:rPr>
          <w:rFonts w:hint="eastAsia" w:ascii="宋体" w:hAnsi="宋体" w:cs="仿宋"/>
          <w:bCs/>
          <w:color w:val="auto"/>
          <w:kern w:val="0"/>
          <w:sz w:val="24"/>
        </w:rPr>
        <w:t>提交</w:t>
      </w:r>
      <w:r>
        <w:rPr>
          <w:rFonts w:hint="eastAsia" w:cs="仿宋"/>
          <w:bCs/>
          <w:color w:val="auto"/>
          <w:kern w:val="0"/>
          <w:sz w:val="24"/>
          <w:lang w:eastAsia="zh-CN"/>
        </w:rPr>
        <w:t>评审</w:t>
      </w:r>
      <w:r>
        <w:rPr>
          <w:rFonts w:hint="eastAsia" w:ascii="宋体" w:hAnsi="宋体" w:cs="仿宋"/>
          <w:bCs/>
          <w:color w:val="auto"/>
          <w:kern w:val="0"/>
          <w:sz w:val="24"/>
        </w:rPr>
        <w:t>报告。</w:t>
      </w:r>
      <w:r>
        <w:rPr>
          <w:rFonts w:hint="eastAsia" w:cs="仿宋"/>
          <w:bCs/>
          <w:color w:val="auto"/>
          <w:kern w:val="0"/>
          <w:sz w:val="24"/>
          <w:lang w:eastAsia="zh-CN"/>
        </w:rPr>
        <w:t>评审</w:t>
      </w:r>
      <w:r>
        <w:rPr>
          <w:rFonts w:hint="eastAsia" w:ascii="宋体" w:hAnsi="宋体" w:cs="仿宋"/>
          <w:bCs/>
          <w:color w:val="auto"/>
          <w:kern w:val="0"/>
          <w:sz w:val="24"/>
        </w:rPr>
        <w:t>报告由</w:t>
      </w:r>
      <w:r>
        <w:rPr>
          <w:rFonts w:hint="eastAsia" w:cs="仿宋"/>
          <w:bCs/>
          <w:color w:val="auto"/>
          <w:kern w:val="0"/>
          <w:sz w:val="24"/>
          <w:lang w:eastAsia="zh-CN"/>
        </w:rPr>
        <w:t>评审</w:t>
      </w:r>
      <w:r>
        <w:rPr>
          <w:rFonts w:hint="eastAsia" w:ascii="宋体" w:hAnsi="宋体" w:cs="仿宋"/>
          <w:bCs/>
          <w:color w:val="auto"/>
          <w:kern w:val="0"/>
          <w:sz w:val="24"/>
        </w:rPr>
        <w:t>委员会起草，</w:t>
      </w:r>
      <w:r>
        <w:rPr>
          <w:rFonts w:hint="eastAsia" w:cs="仿宋"/>
          <w:bCs/>
          <w:color w:val="auto"/>
          <w:kern w:val="0"/>
          <w:sz w:val="24"/>
          <w:lang w:eastAsia="zh-CN"/>
        </w:rPr>
        <w:t>评审</w:t>
      </w:r>
      <w:r>
        <w:rPr>
          <w:rFonts w:hint="eastAsia" w:ascii="宋体" w:hAnsi="宋体" w:cs="仿宋"/>
          <w:bCs/>
          <w:color w:val="auto"/>
          <w:kern w:val="0"/>
          <w:sz w:val="24"/>
        </w:rPr>
        <w:t>委员会全体成员应在</w:t>
      </w:r>
      <w:r>
        <w:rPr>
          <w:rFonts w:hint="eastAsia" w:cs="仿宋"/>
          <w:bCs/>
          <w:color w:val="auto"/>
          <w:kern w:val="0"/>
          <w:sz w:val="24"/>
          <w:lang w:eastAsia="zh-CN"/>
        </w:rPr>
        <w:t>评审</w:t>
      </w:r>
      <w:r>
        <w:rPr>
          <w:rFonts w:hint="eastAsia" w:ascii="宋体" w:hAnsi="宋体" w:cs="仿宋"/>
          <w:bCs/>
          <w:color w:val="auto"/>
          <w:kern w:val="0"/>
          <w:sz w:val="24"/>
        </w:rPr>
        <w:t>报告上签字确认，</w:t>
      </w:r>
      <w:r>
        <w:rPr>
          <w:rFonts w:hint="eastAsia" w:cs="仿宋"/>
          <w:bCs/>
          <w:color w:val="auto"/>
          <w:kern w:val="0"/>
          <w:sz w:val="24"/>
          <w:lang w:eastAsia="zh-CN"/>
        </w:rPr>
        <w:t>评审</w:t>
      </w:r>
      <w:r>
        <w:rPr>
          <w:rFonts w:hint="eastAsia" w:ascii="宋体" w:hAnsi="宋体" w:cs="仿宋"/>
          <w:bCs/>
          <w:color w:val="auto"/>
          <w:kern w:val="0"/>
          <w:sz w:val="24"/>
        </w:rPr>
        <w:t>专家如有保留意见可以在</w:t>
      </w:r>
      <w:r>
        <w:rPr>
          <w:rFonts w:hint="eastAsia" w:cs="仿宋"/>
          <w:bCs/>
          <w:color w:val="auto"/>
          <w:kern w:val="0"/>
          <w:sz w:val="24"/>
          <w:lang w:eastAsia="zh-CN"/>
        </w:rPr>
        <w:t>评审</w:t>
      </w:r>
      <w:r>
        <w:rPr>
          <w:rFonts w:hint="eastAsia" w:ascii="宋体" w:hAnsi="宋体" w:cs="仿宋"/>
          <w:bCs/>
          <w:color w:val="auto"/>
          <w:kern w:val="0"/>
          <w:sz w:val="24"/>
        </w:rPr>
        <w:t>报告中阐明。</w:t>
      </w:r>
    </w:p>
    <w:p w14:paraId="408BA32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委员会在</w:t>
      </w:r>
      <w:r>
        <w:rPr>
          <w:rFonts w:hint="eastAsia" w:cs="仿宋"/>
          <w:bCs/>
          <w:color w:val="auto"/>
          <w:kern w:val="0"/>
          <w:sz w:val="24"/>
          <w:lang w:eastAsia="zh-CN"/>
        </w:rPr>
        <w:t>评审</w:t>
      </w:r>
      <w:r>
        <w:rPr>
          <w:rFonts w:hint="eastAsia" w:ascii="宋体" w:hAnsi="宋体" w:cs="仿宋"/>
          <w:bCs/>
          <w:color w:val="auto"/>
          <w:kern w:val="0"/>
          <w:sz w:val="24"/>
        </w:rPr>
        <w:t>报告中根据</w:t>
      </w:r>
      <w:r>
        <w:rPr>
          <w:rFonts w:hint="eastAsia" w:cs="仿宋"/>
          <w:bCs/>
          <w:color w:val="auto"/>
          <w:kern w:val="0"/>
          <w:sz w:val="24"/>
          <w:lang w:val="en-US" w:eastAsia="zh-CN"/>
        </w:rPr>
        <w:t>综合得分高低</w:t>
      </w:r>
      <w:r>
        <w:rPr>
          <w:rFonts w:hint="eastAsia" w:ascii="宋体" w:hAnsi="宋体" w:cs="仿宋"/>
          <w:bCs/>
          <w:color w:val="auto"/>
          <w:kern w:val="0"/>
          <w:sz w:val="24"/>
        </w:rPr>
        <w:t>排序推荐前一至</w:t>
      </w:r>
      <w:r>
        <w:rPr>
          <w:rFonts w:hint="eastAsia" w:cs="仿宋"/>
          <w:bCs/>
          <w:color w:val="auto"/>
          <w:kern w:val="0"/>
          <w:sz w:val="24"/>
          <w:lang w:val="en-US" w:eastAsia="zh-CN"/>
        </w:rPr>
        <w:t>二</w:t>
      </w:r>
      <w:r>
        <w:rPr>
          <w:rFonts w:hint="eastAsia" w:ascii="宋体" w:hAnsi="宋体" w:cs="仿宋"/>
          <w:bCs/>
          <w:color w:val="auto"/>
          <w:kern w:val="0"/>
          <w:sz w:val="24"/>
        </w:rPr>
        <w:t>名为</w:t>
      </w:r>
      <w:r>
        <w:rPr>
          <w:rFonts w:hint="eastAsia" w:cs="仿宋"/>
          <w:bCs/>
          <w:color w:val="auto"/>
          <w:kern w:val="0"/>
          <w:sz w:val="24"/>
          <w:lang w:val="en-US" w:eastAsia="zh-CN"/>
        </w:rPr>
        <w:t>成交</w:t>
      </w:r>
      <w:r>
        <w:rPr>
          <w:rFonts w:hint="eastAsia" w:ascii="宋体" w:hAnsi="宋体" w:cs="仿宋"/>
          <w:bCs/>
          <w:color w:val="auto"/>
          <w:kern w:val="0"/>
          <w:sz w:val="24"/>
        </w:rPr>
        <w:t>候选人。</w:t>
      </w:r>
    </w:p>
    <w:p w14:paraId="1C170E28">
      <w:pPr>
        <w:spacing w:before="185" w:line="218" w:lineRule="auto"/>
        <w:ind w:left="483"/>
        <w:rPr>
          <w:rFonts w:ascii="宋体" w:hAnsi="宋体" w:eastAsia="宋体" w:cs="宋体"/>
          <w:sz w:val="24"/>
          <w:szCs w:val="24"/>
        </w:rPr>
      </w:pPr>
    </w:p>
    <w:p w14:paraId="6FF60D81">
      <w:pPr>
        <w:spacing w:line="218" w:lineRule="auto"/>
        <w:rPr>
          <w:rFonts w:ascii="宋体" w:hAnsi="宋体" w:eastAsia="宋体" w:cs="宋体"/>
          <w:sz w:val="24"/>
          <w:szCs w:val="24"/>
        </w:rPr>
        <w:sectPr>
          <w:footerReference r:id="rId10" w:type="default"/>
          <w:pgSz w:w="11906" w:h="16839"/>
          <w:pgMar w:top="1431" w:right="1643" w:bottom="1156" w:left="1652" w:header="0" w:footer="994" w:gutter="0"/>
          <w:cols w:space="720" w:num="1"/>
        </w:sectPr>
      </w:pPr>
    </w:p>
    <w:p w14:paraId="5FD357BB">
      <w:pPr>
        <w:pStyle w:val="5"/>
        <w:spacing w:line="335" w:lineRule="auto"/>
      </w:pPr>
    </w:p>
    <w:p w14:paraId="11EF7144">
      <w:pPr>
        <w:pStyle w:val="5"/>
        <w:spacing w:line="335" w:lineRule="auto"/>
      </w:pPr>
    </w:p>
    <w:p w14:paraId="2F9BEE9A">
      <w:pPr>
        <w:spacing w:before="98" w:line="219" w:lineRule="auto"/>
        <w:ind w:left="4158"/>
        <w:rPr>
          <w:rFonts w:ascii="宋体" w:hAnsi="宋体" w:eastAsia="宋体" w:cs="宋体"/>
          <w:sz w:val="30"/>
          <w:szCs w:val="30"/>
        </w:rPr>
      </w:pPr>
      <w:r>
        <w:rPr>
          <w:rFonts w:ascii="宋体" w:hAnsi="宋体" w:eastAsia="宋体" w:cs="宋体"/>
          <w:b/>
          <w:bCs/>
          <w:spacing w:val="-7"/>
          <w:sz w:val="30"/>
          <w:szCs w:val="30"/>
        </w:rPr>
        <w:t>1.资格审查表</w:t>
      </w:r>
    </w:p>
    <w:p w14:paraId="3534CF80">
      <w:pPr>
        <w:spacing w:before="143" w:line="211" w:lineRule="auto"/>
        <w:ind w:left="641"/>
        <w:rPr>
          <w:rFonts w:ascii="宋体" w:hAnsi="宋体" w:eastAsia="宋体" w:cs="宋体"/>
          <w:sz w:val="24"/>
          <w:szCs w:val="24"/>
        </w:rPr>
      </w:pPr>
      <w:r>
        <w:rPr>
          <w:rFonts w:ascii="宋体" w:hAnsi="宋体" w:eastAsia="宋体" w:cs="宋体"/>
          <w:spacing w:val="-5"/>
          <w:sz w:val="24"/>
          <w:szCs w:val="24"/>
        </w:rPr>
        <w:t>编号：</w:t>
      </w:r>
      <w:r>
        <w:rPr>
          <w:rFonts w:ascii="宋体" w:hAnsi="宋体" w:eastAsia="宋体" w:cs="宋体"/>
          <w:sz w:val="24"/>
          <w:szCs w:val="24"/>
        </w:rPr>
        <w:t xml:space="preserve">                 </w:t>
      </w:r>
      <w:r>
        <w:rPr>
          <w:rFonts w:ascii="宋体" w:hAnsi="宋体" w:eastAsia="宋体" w:cs="宋体"/>
          <w:spacing w:val="-5"/>
          <w:sz w:val="24"/>
          <w:szCs w:val="24"/>
        </w:rPr>
        <w:t>谈判时间：  年 月</w:t>
      </w:r>
      <w:r>
        <w:rPr>
          <w:rFonts w:ascii="宋体" w:hAnsi="宋体" w:eastAsia="宋体" w:cs="宋体"/>
          <w:spacing w:val="61"/>
          <w:sz w:val="24"/>
          <w:szCs w:val="24"/>
        </w:rPr>
        <w:t xml:space="preserve"> </w:t>
      </w:r>
      <w:r>
        <w:rPr>
          <w:rFonts w:ascii="宋体" w:hAnsi="宋体" w:eastAsia="宋体" w:cs="宋体"/>
          <w:spacing w:val="-5"/>
          <w:sz w:val="24"/>
          <w:szCs w:val="24"/>
        </w:rPr>
        <w:t>日</w:t>
      </w:r>
      <w:r>
        <w:rPr>
          <w:rFonts w:ascii="宋体" w:hAnsi="宋体" w:eastAsia="宋体" w:cs="宋体"/>
          <w:spacing w:val="3"/>
          <w:sz w:val="24"/>
          <w:szCs w:val="24"/>
        </w:rPr>
        <w:t xml:space="preserve">      </w:t>
      </w:r>
      <w:r>
        <w:rPr>
          <w:rFonts w:ascii="宋体" w:hAnsi="宋体" w:eastAsia="宋体" w:cs="宋体"/>
          <w:spacing w:val="-5"/>
          <w:sz w:val="24"/>
          <w:szCs w:val="24"/>
        </w:rPr>
        <w:t>审查日期：</w:t>
      </w:r>
    </w:p>
    <w:tbl>
      <w:tblPr>
        <w:tblStyle w:val="11"/>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1D12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vAlign w:val="top"/>
          </w:tcPr>
          <w:p w14:paraId="2D3F98FC">
            <w:pPr>
              <w:pStyle w:val="12"/>
              <w:spacing w:before="41" w:line="211" w:lineRule="auto"/>
              <w:ind w:left="409"/>
            </w:pPr>
            <w:r>
              <w:rPr>
                <w:spacing w:val="-3"/>
              </w:rPr>
              <w:t>谈判名称</w:t>
            </w:r>
          </w:p>
        </w:tc>
        <w:tc>
          <w:tcPr>
            <w:tcW w:w="7659" w:type="dxa"/>
            <w:gridSpan w:val="6"/>
            <w:vAlign w:val="top"/>
          </w:tcPr>
          <w:p w14:paraId="6174B25D">
            <w:pPr>
              <w:rPr>
                <w:rFonts w:ascii="Arial"/>
                <w:sz w:val="21"/>
              </w:rPr>
            </w:pPr>
          </w:p>
        </w:tc>
      </w:tr>
      <w:tr w14:paraId="7BE8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vAlign w:val="top"/>
          </w:tcPr>
          <w:p w14:paraId="0E36433C">
            <w:pPr>
              <w:pStyle w:val="12"/>
              <w:spacing w:before="31" w:line="212" w:lineRule="auto"/>
              <w:ind w:left="409"/>
            </w:pPr>
            <w:r>
              <w:rPr>
                <w:spacing w:val="-3"/>
              </w:rPr>
              <w:t>谈判内容</w:t>
            </w:r>
          </w:p>
        </w:tc>
        <w:tc>
          <w:tcPr>
            <w:tcW w:w="7659" w:type="dxa"/>
            <w:gridSpan w:val="6"/>
            <w:vAlign w:val="top"/>
          </w:tcPr>
          <w:p w14:paraId="7741337E">
            <w:pPr>
              <w:rPr>
                <w:rFonts w:ascii="Arial"/>
                <w:sz w:val="21"/>
              </w:rPr>
            </w:pPr>
          </w:p>
        </w:tc>
      </w:tr>
      <w:tr w14:paraId="7268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vAlign w:val="top"/>
          </w:tcPr>
          <w:p w14:paraId="0883CAB7">
            <w:pPr>
              <w:pStyle w:val="12"/>
              <w:spacing w:before="155" w:line="210" w:lineRule="auto"/>
              <w:ind w:left="33"/>
            </w:pPr>
            <w:r>
              <w:rPr>
                <w:spacing w:val="-1"/>
              </w:rPr>
              <w:t>序</w:t>
            </w:r>
            <w:r>
              <w:rPr>
                <w:spacing w:val="-47"/>
              </w:rPr>
              <w:t xml:space="preserve"> </w:t>
            </w:r>
            <w:r>
              <w:rPr>
                <w:spacing w:val="-1"/>
              </w:rPr>
              <w:t>号</w:t>
            </w:r>
          </w:p>
        </w:tc>
        <w:tc>
          <w:tcPr>
            <w:tcW w:w="2847" w:type="dxa"/>
            <w:gridSpan w:val="2"/>
            <w:vAlign w:val="top"/>
          </w:tcPr>
          <w:p w14:paraId="76901F76">
            <w:pPr>
              <w:pStyle w:val="12"/>
              <w:spacing w:before="190" w:line="219" w:lineRule="auto"/>
              <w:ind w:left="938"/>
            </w:pPr>
            <w:r>
              <w:rPr>
                <w:spacing w:val="-2"/>
              </w:rPr>
              <w:t>报名单位</w:t>
            </w:r>
          </w:p>
        </w:tc>
        <w:tc>
          <w:tcPr>
            <w:tcW w:w="957" w:type="dxa"/>
            <w:vAlign w:val="top"/>
          </w:tcPr>
          <w:p w14:paraId="67B72E96">
            <w:pPr>
              <w:pStyle w:val="12"/>
              <w:spacing w:before="34" w:line="225" w:lineRule="auto"/>
              <w:ind w:left="359" w:right="112" w:hanging="241"/>
            </w:pPr>
            <w:r>
              <w:rPr>
                <w:spacing w:val="-4"/>
              </w:rPr>
              <w:t>注册资</w:t>
            </w:r>
            <w:r>
              <w:rPr>
                <w:spacing w:val="1"/>
              </w:rPr>
              <w:t xml:space="preserve"> </w:t>
            </w:r>
            <w:r>
              <w:t>金</w:t>
            </w:r>
          </w:p>
        </w:tc>
        <w:tc>
          <w:tcPr>
            <w:tcW w:w="444" w:type="dxa"/>
            <w:textDirection w:val="tbRlV"/>
            <w:vAlign w:val="top"/>
          </w:tcPr>
          <w:p w14:paraId="6673D97D">
            <w:pPr>
              <w:pStyle w:val="12"/>
              <w:spacing w:before="88" w:line="209" w:lineRule="auto"/>
              <w:ind w:left="33"/>
            </w:pPr>
            <w:r>
              <w:rPr>
                <w:spacing w:val="-1"/>
              </w:rPr>
              <w:t>业</w:t>
            </w:r>
            <w:r>
              <w:rPr>
                <w:spacing w:val="-47"/>
              </w:rPr>
              <w:t xml:space="preserve"> </w:t>
            </w:r>
            <w:r>
              <w:rPr>
                <w:spacing w:val="-1"/>
              </w:rPr>
              <w:t>绩</w:t>
            </w:r>
          </w:p>
        </w:tc>
        <w:tc>
          <w:tcPr>
            <w:tcW w:w="819" w:type="dxa"/>
            <w:vAlign w:val="top"/>
          </w:tcPr>
          <w:p w14:paraId="29C44027">
            <w:pPr>
              <w:pStyle w:val="12"/>
              <w:spacing w:before="34" w:line="225" w:lineRule="auto"/>
              <w:ind w:left="293" w:right="161" w:hanging="120"/>
            </w:pPr>
            <w:r>
              <w:rPr>
                <w:spacing w:val="-6"/>
              </w:rPr>
              <w:t>联系</w:t>
            </w:r>
            <w:r>
              <w:t xml:space="preserve"> 人</w:t>
            </w:r>
          </w:p>
        </w:tc>
        <w:tc>
          <w:tcPr>
            <w:tcW w:w="1631" w:type="dxa"/>
            <w:vAlign w:val="top"/>
          </w:tcPr>
          <w:p w14:paraId="4CA7A11B">
            <w:pPr>
              <w:pStyle w:val="12"/>
              <w:spacing w:before="190" w:line="221" w:lineRule="auto"/>
              <w:ind w:left="340"/>
            </w:pPr>
            <w:r>
              <w:rPr>
                <w:spacing w:val="-3"/>
              </w:rPr>
              <w:t>联系电话</w:t>
            </w:r>
          </w:p>
        </w:tc>
        <w:tc>
          <w:tcPr>
            <w:tcW w:w="2181" w:type="dxa"/>
            <w:vAlign w:val="top"/>
          </w:tcPr>
          <w:p w14:paraId="6E5F31E7">
            <w:pPr>
              <w:pStyle w:val="12"/>
              <w:spacing w:before="189" w:line="221" w:lineRule="auto"/>
              <w:ind w:left="851"/>
            </w:pPr>
            <w:r>
              <w:rPr>
                <w:spacing w:val="-5"/>
              </w:rPr>
              <w:t>包号</w:t>
            </w:r>
          </w:p>
        </w:tc>
      </w:tr>
      <w:tr w14:paraId="3E49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72818F83">
            <w:pPr>
              <w:pStyle w:val="12"/>
              <w:spacing w:before="70" w:line="182" w:lineRule="auto"/>
              <w:ind w:left="236"/>
            </w:pPr>
            <w:r>
              <w:t>1</w:t>
            </w:r>
          </w:p>
        </w:tc>
        <w:tc>
          <w:tcPr>
            <w:tcW w:w="2847" w:type="dxa"/>
            <w:gridSpan w:val="2"/>
            <w:vAlign w:val="top"/>
          </w:tcPr>
          <w:p w14:paraId="1710D707">
            <w:pPr>
              <w:rPr>
                <w:rFonts w:ascii="Arial"/>
                <w:sz w:val="21"/>
              </w:rPr>
            </w:pPr>
          </w:p>
        </w:tc>
        <w:tc>
          <w:tcPr>
            <w:tcW w:w="957" w:type="dxa"/>
            <w:vAlign w:val="top"/>
          </w:tcPr>
          <w:p w14:paraId="68BAC36B">
            <w:pPr>
              <w:rPr>
                <w:rFonts w:ascii="Arial"/>
                <w:sz w:val="21"/>
              </w:rPr>
            </w:pPr>
          </w:p>
        </w:tc>
        <w:tc>
          <w:tcPr>
            <w:tcW w:w="444" w:type="dxa"/>
            <w:vAlign w:val="top"/>
          </w:tcPr>
          <w:p w14:paraId="244544DC">
            <w:pPr>
              <w:rPr>
                <w:rFonts w:ascii="Arial"/>
                <w:sz w:val="21"/>
              </w:rPr>
            </w:pPr>
          </w:p>
        </w:tc>
        <w:tc>
          <w:tcPr>
            <w:tcW w:w="819" w:type="dxa"/>
            <w:vAlign w:val="top"/>
          </w:tcPr>
          <w:p w14:paraId="2DB85202">
            <w:pPr>
              <w:rPr>
                <w:rFonts w:ascii="Arial"/>
                <w:sz w:val="21"/>
              </w:rPr>
            </w:pPr>
          </w:p>
        </w:tc>
        <w:tc>
          <w:tcPr>
            <w:tcW w:w="1631" w:type="dxa"/>
            <w:vAlign w:val="top"/>
          </w:tcPr>
          <w:p w14:paraId="6918DD46">
            <w:pPr>
              <w:rPr>
                <w:rFonts w:ascii="Arial"/>
                <w:sz w:val="21"/>
              </w:rPr>
            </w:pPr>
          </w:p>
        </w:tc>
        <w:tc>
          <w:tcPr>
            <w:tcW w:w="2181" w:type="dxa"/>
            <w:vAlign w:val="top"/>
          </w:tcPr>
          <w:p w14:paraId="3B25F8BA">
            <w:pPr>
              <w:rPr>
                <w:rFonts w:ascii="Arial"/>
                <w:sz w:val="21"/>
              </w:rPr>
            </w:pPr>
          </w:p>
        </w:tc>
      </w:tr>
      <w:tr w14:paraId="7536B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5F929452">
            <w:pPr>
              <w:pStyle w:val="12"/>
              <w:spacing w:before="70" w:line="182" w:lineRule="auto"/>
              <w:ind w:left="221"/>
            </w:pPr>
            <w:r>
              <w:t>2</w:t>
            </w:r>
          </w:p>
        </w:tc>
        <w:tc>
          <w:tcPr>
            <w:tcW w:w="2847" w:type="dxa"/>
            <w:gridSpan w:val="2"/>
            <w:vAlign w:val="top"/>
          </w:tcPr>
          <w:p w14:paraId="48E35772">
            <w:pPr>
              <w:rPr>
                <w:rFonts w:ascii="Arial"/>
                <w:sz w:val="21"/>
              </w:rPr>
            </w:pPr>
          </w:p>
        </w:tc>
        <w:tc>
          <w:tcPr>
            <w:tcW w:w="957" w:type="dxa"/>
            <w:vAlign w:val="top"/>
          </w:tcPr>
          <w:p w14:paraId="4FBF543A">
            <w:pPr>
              <w:rPr>
                <w:rFonts w:ascii="Arial"/>
                <w:sz w:val="21"/>
              </w:rPr>
            </w:pPr>
          </w:p>
        </w:tc>
        <w:tc>
          <w:tcPr>
            <w:tcW w:w="444" w:type="dxa"/>
            <w:vAlign w:val="top"/>
          </w:tcPr>
          <w:p w14:paraId="0A3F6574">
            <w:pPr>
              <w:rPr>
                <w:rFonts w:ascii="Arial"/>
                <w:sz w:val="21"/>
              </w:rPr>
            </w:pPr>
          </w:p>
        </w:tc>
        <w:tc>
          <w:tcPr>
            <w:tcW w:w="819" w:type="dxa"/>
            <w:vAlign w:val="top"/>
          </w:tcPr>
          <w:p w14:paraId="3744F483">
            <w:pPr>
              <w:rPr>
                <w:rFonts w:ascii="Arial"/>
                <w:sz w:val="21"/>
              </w:rPr>
            </w:pPr>
          </w:p>
        </w:tc>
        <w:tc>
          <w:tcPr>
            <w:tcW w:w="1631" w:type="dxa"/>
            <w:vAlign w:val="top"/>
          </w:tcPr>
          <w:p w14:paraId="7891AE32">
            <w:pPr>
              <w:rPr>
                <w:rFonts w:ascii="Arial"/>
                <w:sz w:val="21"/>
              </w:rPr>
            </w:pPr>
          </w:p>
        </w:tc>
        <w:tc>
          <w:tcPr>
            <w:tcW w:w="2181" w:type="dxa"/>
            <w:vAlign w:val="top"/>
          </w:tcPr>
          <w:p w14:paraId="1AD789A9">
            <w:pPr>
              <w:rPr>
                <w:rFonts w:ascii="Arial"/>
                <w:sz w:val="21"/>
              </w:rPr>
            </w:pPr>
          </w:p>
        </w:tc>
      </w:tr>
      <w:tr w14:paraId="1A98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5783E898">
            <w:pPr>
              <w:pStyle w:val="12"/>
              <w:spacing w:before="71" w:line="181" w:lineRule="auto"/>
              <w:ind w:left="223"/>
            </w:pPr>
            <w:r>
              <w:t>3</w:t>
            </w:r>
          </w:p>
        </w:tc>
        <w:tc>
          <w:tcPr>
            <w:tcW w:w="2847" w:type="dxa"/>
            <w:gridSpan w:val="2"/>
            <w:vAlign w:val="top"/>
          </w:tcPr>
          <w:p w14:paraId="5F563F63">
            <w:pPr>
              <w:rPr>
                <w:rFonts w:ascii="Arial"/>
                <w:sz w:val="21"/>
              </w:rPr>
            </w:pPr>
          </w:p>
        </w:tc>
        <w:tc>
          <w:tcPr>
            <w:tcW w:w="957" w:type="dxa"/>
            <w:vAlign w:val="top"/>
          </w:tcPr>
          <w:p w14:paraId="2B61E7B3">
            <w:pPr>
              <w:rPr>
                <w:rFonts w:ascii="Arial"/>
                <w:sz w:val="21"/>
              </w:rPr>
            </w:pPr>
          </w:p>
        </w:tc>
        <w:tc>
          <w:tcPr>
            <w:tcW w:w="444" w:type="dxa"/>
            <w:vAlign w:val="top"/>
          </w:tcPr>
          <w:p w14:paraId="2F47A36D">
            <w:pPr>
              <w:rPr>
                <w:rFonts w:ascii="Arial"/>
                <w:sz w:val="21"/>
              </w:rPr>
            </w:pPr>
          </w:p>
        </w:tc>
        <w:tc>
          <w:tcPr>
            <w:tcW w:w="819" w:type="dxa"/>
            <w:vAlign w:val="top"/>
          </w:tcPr>
          <w:p w14:paraId="66073AC7">
            <w:pPr>
              <w:rPr>
                <w:rFonts w:ascii="Arial"/>
                <w:sz w:val="21"/>
              </w:rPr>
            </w:pPr>
          </w:p>
        </w:tc>
        <w:tc>
          <w:tcPr>
            <w:tcW w:w="1631" w:type="dxa"/>
            <w:vAlign w:val="top"/>
          </w:tcPr>
          <w:p w14:paraId="27AB69C6">
            <w:pPr>
              <w:rPr>
                <w:rFonts w:ascii="Arial"/>
                <w:sz w:val="21"/>
              </w:rPr>
            </w:pPr>
          </w:p>
        </w:tc>
        <w:tc>
          <w:tcPr>
            <w:tcW w:w="2181" w:type="dxa"/>
            <w:vAlign w:val="top"/>
          </w:tcPr>
          <w:p w14:paraId="59FF6609">
            <w:pPr>
              <w:rPr>
                <w:rFonts w:ascii="Arial"/>
                <w:sz w:val="21"/>
              </w:rPr>
            </w:pPr>
          </w:p>
        </w:tc>
      </w:tr>
      <w:tr w14:paraId="69108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6A67B3C2">
            <w:pPr>
              <w:pStyle w:val="12"/>
              <w:spacing w:before="70" w:line="182" w:lineRule="auto"/>
              <w:ind w:left="217"/>
            </w:pPr>
            <w:r>
              <w:t>4</w:t>
            </w:r>
          </w:p>
        </w:tc>
        <w:tc>
          <w:tcPr>
            <w:tcW w:w="2847" w:type="dxa"/>
            <w:gridSpan w:val="2"/>
            <w:vAlign w:val="top"/>
          </w:tcPr>
          <w:p w14:paraId="0D8C0CBD">
            <w:pPr>
              <w:rPr>
                <w:rFonts w:ascii="Arial"/>
                <w:sz w:val="21"/>
              </w:rPr>
            </w:pPr>
          </w:p>
        </w:tc>
        <w:tc>
          <w:tcPr>
            <w:tcW w:w="957" w:type="dxa"/>
            <w:vAlign w:val="top"/>
          </w:tcPr>
          <w:p w14:paraId="3C00FD76">
            <w:pPr>
              <w:rPr>
                <w:rFonts w:ascii="Arial"/>
                <w:sz w:val="21"/>
              </w:rPr>
            </w:pPr>
          </w:p>
        </w:tc>
        <w:tc>
          <w:tcPr>
            <w:tcW w:w="444" w:type="dxa"/>
            <w:vAlign w:val="top"/>
          </w:tcPr>
          <w:p w14:paraId="5D35B52D">
            <w:pPr>
              <w:rPr>
                <w:rFonts w:ascii="Arial"/>
                <w:sz w:val="21"/>
              </w:rPr>
            </w:pPr>
          </w:p>
        </w:tc>
        <w:tc>
          <w:tcPr>
            <w:tcW w:w="819" w:type="dxa"/>
            <w:vAlign w:val="top"/>
          </w:tcPr>
          <w:p w14:paraId="73916D0A">
            <w:pPr>
              <w:rPr>
                <w:rFonts w:ascii="Arial"/>
                <w:sz w:val="21"/>
              </w:rPr>
            </w:pPr>
          </w:p>
        </w:tc>
        <w:tc>
          <w:tcPr>
            <w:tcW w:w="1631" w:type="dxa"/>
            <w:vAlign w:val="top"/>
          </w:tcPr>
          <w:p w14:paraId="029CA0B2">
            <w:pPr>
              <w:rPr>
                <w:rFonts w:ascii="Arial"/>
                <w:sz w:val="21"/>
              </w:rPr>
            </w:pPr>
          </w:p>
        </w:tc>
        <w:tc>
          <w:tcPr>
            <w:tcW w:w="2181" w:type="dxa"/>
            <w:vAlign w:val="top"/>
          </w:tcPr>
          <w:p w14:paraId="58C4EC1C">
            <w:pPr>
              <w:rPr>
                <w:rFonts w:ascii="Arial"/>
                <w:sz w:val="21"/>
              </w:rPr>
            </w:pPr>
          </w:p>
        </w:tc>
      </w:tr>
      <w:tr w14:paraId="2DDA0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vAlign w:val="top"/>
          </w:tcPr>
          <w:p w14:paraId="0105CF17">
            <w:pPr>
              <w:pStyle w:val="12"/>
              <w:spacing w:before="31" w:line="212" w:lineRule="auto"/>
              <w:ind w:left="3771"/>
            </w:pPr>
            <w:r>
              <w:rPr>
                <w:spacing w:val="-3"/>
              </w:rPr>
              <w:t>资质审查情况说明</w:t>
            </w:r>
          </w:p>
        </w:tc>
      </w:tr>
      <w:tr w14:paraId="1729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vAlign w:val="top"/>
          </w:tcPr>
          <w:p w14:paraId="3C391366">
            <w:pPr>
              <w:pStyle w:val="12"/>
              <w:spacing w:before="34" w:line="219" w:lineRule="auto"/>
              <w:ind w:left="124"/>
            </w:pPr>
            <w:r>
              <w:rPr>
                <w:spacing w:val="-1"/>
              </w:rPr>
              <w:t>（资质、业绩、技术、能力，谈判保证金等方面）</w:t>
            </w:r>
          </w:p>
        </w:tc>
      </w:tr>
      <w:tr w14:paraId="022ED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vAlign w:val="top"/>
          </w:tcPr>
          <w:p w14:paraId="73959863">
            <w:pPr>
              <w:spacing w:line="309" w:lineRule="auto"/>
              <w:rPr>
                <w:rFonts w:ascii="Arial"/>
                <w:sz w:val="21"/>
              </w:rPr>
            </w:pPr>
          </w:p>
          <w:p w14:paraId="130BD2A7">
            <w:pPr>
              <w:spacing w:line="310" w:lineRule="auto"/>
              <w:rPr>
                <w:rFonts w:ascii="Arial"/>
                <w:sz w:val="21"/>
              </w:rPr>
            </w:pPr>
          </w:p>
          <w:p w14:paraId="409CB4A8">
            <w:pPr>
              <w:pStyle w:val="12"/>
              <w:spacing w:before="78" w:line="219" w:lineRule="auto"/>
              <w:ind w:left="180"/>
            </w:pPr>
            <w:r>
              <w:rPr>
                <w:spacing w:val="-4"/>
              </w:rPr>
              <w:t>资格审查人员</w:t>
            </w:r>
          </w:p>
        </w:tc>
        <w:tc>
          <w:tcPr>
            <w:tcW w:w="7659" w:type="dxa"/>
            <w:gridSpan w:val="6"/>
            <w:tcBorders>
              <w:bottom w:val="single" w:color="000000" w:sz="2" w:space="0"/>
            </w:tcBorders>
            <w:vAlign w:val="top"/>
          </w:tcPr>
          <w:p w14:paraId="020C4815">
            <w:pPr>
              <w:rPr>
                <w:rFonts w:ascii="Arial"/>
                <w:sz w:val="21"/>
              </w:rPr>
            </w:pPr>
          </w:p>
        </w:tc>
      </w:tr>
      <w:tr w14:paraId="300B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vAlign w:val="top"/>
          </w:tcPr>
          <w:p w14:paraId="7B1FB2E0">
            <w:pPr>
              <w:pStyle w:val="12"/>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vAlign w:val="top"/>
          </w:tcPr>
          <w:p w14:paraId="79BB1477">
            <w:pPr>
              <w:rPr>
                <w:rFonts w:ascii="Arial"/>
                <w:sz w:val="21"/>
              </w:rPr>
            </w:pPr>
          </w:p>
        </w:tc>
      </w:tr>
    </w:tbl>
    <w:p w14:paraId="0D927C88">
      <w:pPr>
        <w:pStyle w:val="5"/>
      </w:pPr>
    </w:p>
    <w:p w14:paraId="7A5DC5CE">
      <w:pPr>
        <w:sectPr>
          <w:footerReference r:id="rId11" w:type="default"/>
          <w:pgSz w:w="11906" w:h="16839"/>
          <w:pgMar w:top="1431" w:right="1526" w:bottom="1156" w:left="925" w:header="0" w:footer="994" w:gutter="0"/>
          <w:cols w:space="720" w:num="1"/>
        </w:sectPr>
      </w:pPr>
    </w:p>
    <w:p w14:paraId="1F6BD211">
      <w:pPr>
        <w:spacing w:before="148" w:line="219" w:lineRule="auto"/>
        <w:ind w:left="2704"/>
        <w:outlineLvl w:val="0"/>
        <w:rPr>
          <w:rFonts w:ascii="宋体" w:hAnsi="宋体" w:eastAsia="宋体" w:cs="宋体"/>
          <w:sz w:val="30"/>
          <w:szCs w:val="30"/>
        </w:rPr>
      </w:pPr>
      <w:r>
        <w:rPr>
          <w:rFonts w:ascii="宋体" w:hAnsi="宋体" w:eastAsia="宋体" w:cs="宋体"/>
          <w:b/>
          <w:bCs/>
          <w:spacing w:val="-4"/>
          <w:sz w:val="30"/>
          <w:szCs w:val="30"/>
        </w:rPr>
        <w:t>2.</w:t>
      </w:r>
      <w:r>
        <w:rPr>
          <w:rFonts w:ascii="宋体" w:hAnsi="宋体" w:eastAsia="宋体" w:cs="宋体"/>
          <w:spacing w:val="-4"/>
          <w:sz w:val="30"/>
          <w:szCs w:val="30"/>
        </w:rPr>
        <w:t xml:space="preserve"> </w:t>
      </w:r>
      <w:r>
        <w:rPr>
          <w:rFonts w:ascii="宋体" w:hAnsi="宋体" w:eastAsia="宋体" w:cs="宋体"/>
          <w:b/>
          <w:bCs/>
          <w:spacing w:val="-4"/>
          <w:sz w:val="30"/>
          <w:szCs w:val="30"/>
        </w:rPr>
        <w:t>商务和技术评分表</w:t>
      </w:r>
    </w:p>
    <w:p w14:paraId="7AA049E0">
      <w:pPr>
        <w:spacing w:before="182" w:line="218" w:lineRule="auto"/>
        <w:rPr>
          <w:rFonts w:ascii="宋体" w:hAnsi="宋体" w:eastAsia="宋体" w:cs="宋体"/>
          <w:spacing w:val="-1"/>
          <w:sz w:val="24"/>
          <w:szCs w:val="24"/>
        </w:rPr>
      </w:pPr>
      <w:r>
        <w:rPr>
          <w:rFonts w:ascii="宋体" w:hAnsi="宋体" w:eastAsia="宋体" w:cs="宋体"/>
          <w:spacing w:val="-1"/>
          <w:sz w:val="24"/>
          <w:szCs w:val="24"/>
        </w:rPr>
        <w:t>本次竞争性谈判采用</w:t>
      </w:r>
      <w:r>
        <w:rPr>
          <w:rFonts w:hint="eastAsia" w:ascii="宋体" w:hAnsi="宋体" w:eastAsia="宋体" w:cs="宋体"/>
          <w:spacing w:val="-1"/>
          <w:sz w:val="24"/>
          <w:szCs w:val="24"/>
          <w:lang w:eastAsia="zh-CN"/>
        </w:rPr>
        <w:t>综合评审</w:t>
      </w:r>
      <w:r>
        <w:rPr>
          <w:rFonts w:ascii="宋体" w:hAnsi="宋体" w:eastAsia="宋体" w:cs="宋体"/>
          <w:spacing w:val="-1"/>
          <w:sz w:val="24"/>
          <w:szCs w:val="24"/>
        </w:rPr>
        <w:t>法</w:t>
      </w:r>
    </w:p>
    <w:p w14:paraId="200E2265">
      <w:pPr>
        <w:spacing w:before="182" w:line="218" w:lineRule="auto"/>
        <w:rPr>
          <w:rFonts w:ascii="宋体" w:hAnsi="宋体" w:eastAsia="宋体" w:cs="宋体"/>
          <w:spacing w:val="-1"/>
          <w:sz w:val="24"/>
          <w:szCs w:val="24"/>
        </w:rPr>
      </w:pPr>
    </w:p>
    <w:tbl>
      <w:tblPr>
        <w:tblStyle w:val="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900"/>
        <w:gridCol w:w="6120"/>
      </w:tblGrid>
      <w:tr w14:paraId="4841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14:paraId="279545C0">
            <w:pPr>
              <w:pStyle w:val="13"/>
              <w:tabs>
                <w:tab w:val="left" w:pos="2342"/>
              </w:tabs>
              <w:jc w:val="center"/>
              <w:rPr>
                <w:rFonts w:ascii="Times New Roman" w:hAnsi="Times New Roman" w:eastAsia="黑体"/>
                <w:b w:val="0"/>
                <w:bCs w:val="0"/>
                <w:color w:val="000000"/>
              </w:rPr>
            </w:pPr>
            <w:r>
              <w:rPr>
                <w:rFonts w:ascii="Times New Roman" w:hAnsi="Times New Roman" w:eastAsia="黑体"/>
                <w:b w:val="0"/>
                <w:bCs w:val="0"/>
                <w:color w:val="000000"/>
              </w:rPr>
              <w:t>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69D5119">
            <w:pPr>
              <w:pStyle w:val="15"/>
              <w:spacing w:line="300" w:lineRule="auto"/>
              <w:ind w:firstLine="105" w:firstLineChars="50"/>
              <w:jc w:val="center"/>
              <w:rPr>
                <w:rFonts w:ascii="Times New Roman" w:hAnsi="Times New Roman"/>
                <w:color w:val="000000"/>
                <w:kern w:val="0"/>
              </w:rPr>
            </w:pPr>
            <w:r>
              <w:rPr>
                <w:rFonts w:ascii="Times New Roman" w:hAnsi="Times New Roman"/>
                <w:color w:val="000000"/>
                <w:kern w:val="0"/>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5E395FE">
            <w:pPr>
              <w:pStyle w:val="15"/>
              <w:spacing w:line="300" w:lineRule="auto"/>
              <w:ind w:firstLine="1890" w:firstLineChars="900"/>
              <w:rPr>
                <w:rFonts w:ascii="Times New Roman" w:hAnsi="Times New Roman"/>
                <w:color w:val="000000"/>
                <w:kern w:val="0"/>
              </w:rPr>
            </w:pPr>
            <w:r>
              <w:rPr>
                <w:rFonts w:ascii="Times New Roman" w:hAnsi="Times New Roman"/>
                <w:color w:val="000000"/>
                <w:kern w:val="0"/>
              </w:rPr>
              <w:t>评分标准</w:t>
            </w:r>
          </w:p>
        </w:tc>
      </w:tr>
      <w:tr w14:paraId="0C5F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14:paraId="263BC67D">
            <w:pPr>
              <w:pStyle w:val="16"/>
              <w:spacing w:line="300" w:lineRule="auto"/>
              <w:jc w:val="center"/>
              <w:rPr>
                <w:rFonts w:hint="default" w:eastAsia="宋体"/>
                <w:color w:val="000000"/>
                <w:szCs w:val="21"/>
                <w:lang w:val="en-US" w:eastAsia="zh-CN"/>
              </w:rPr>
            </w:pPr>
            <w:r>
              <w:rPr>
                <w:rFonts w:hint="eastAsia" w:eastAsia="宋体"/>
                <w:color w:val="000000"/>
                <w:szCs w:val="21"/>
                <w:lang w:val="en-US" w:eastAsia="zh-CN"/>
              </w:rPr>
              <w:t>商务评审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C7C1CC5">
            <w:pPr>
              <w:pStyle w:val="16"/>
              <w:spacing w:line="300" w:lineRule="auto"/>
              <w:jc w:val="center"/>
              <w:rPr>
                <w:bCs/>
                <w:color w:val="000000"/>
                <w:szCs w:val="21"/>
              </w:rPr>
            </w:pPr>
            <w:r>
              <w:rPr>
                <w:rFonts w:hint="eastAsia" w:eastAsia="宋体"/>
                <w:bCs/>
                <w:color w:val="000000"/>
                <w:szCs w:val="21"/>
                <w:lang w:val="en-US" w:eastAsia="zh-CN"/>
              </w:rPr>
              <w:t>3</w:t>
            </w:r>
            <w:r>
              <w:rPr>
                <w:bCs/>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973E829">
            <w:pPr>
              <w:pStyle w:val="16"/>
              <w:numPr>
                <w:ilvl w:val="0"/>
                <w:numId w:val="0"/>
              </w:numPr>
              <w:spacing w:line="300" w:lineRule="auto"/>
              <w:ind w:leftChars="0"/>
              <w:rPr>
                <w:rFonts w:hint="default" w:eastAsia="宋体"/>
                <w:color w:val="000000"/>
                <w:szCs w:val="21"/>
                <w:lang w:val="en-US" w:eastAsia="zh-CN"/>
              </w:rPr>
            </w:pPr>
            <w:r>
              <w:rPr>
                <w:rFonts w:hint="eastAsia" w:eastAsia="宋体"/>
                <w:color w:val="000000"/>
                <w:szCs w:val="21"/>
                <w:lang w:val="en-US" w:eastAsia="zh-CN"/>
              </w:rPr>
              <w:t>2023年10月1日起至今每提供一项</w:t>
            </w:r>
            <w:r>
              <w:rPr>
                <w:rFonts w:hint="eastAsia"/>
              </w:rPr>
              <w:t>绿色矿山建设实施方案</w:t>
            </w:r>
            <w:r>
              <w:rPr>
                <w:rFonts w:hint="eastAsia" w:eastAsia="宋体"/>
                <w:lang w:val="en-US" w:eastAsia="zh-CN"/>
              </w:rPr>
              <w:t>编制</w:t>
            </w:r>
            <w:r>
              <w:rPr>
                <w:rFonts w:hint="eastAsia" w:eastAsia="宋体"/>
                <w:color w:val="000000"/>
                <w:szCs w:val="21"/>
                <w:lang w:val="en-US" w:eastAsia="zh-CN"/>
              </w:rPr>
              <w:t>类似业绩得1分</w:t>
            </w:r>
            <w:r>
              <w:rPr>
                <w:rFonts w:hint="eastAsia" w:eastAsia="宋体"/>
                <w:color w:val="000000"/>
                <w:szCs w:val="21"/>
                <w:lang w:eastAsia="zh-CN"/>
              </w:rPr>
              <w:t>，</w:t>
            </w:r>
            <w:r>
              <w:rPr>
                <w:rFonts w:hint="eastAsia" w:eastAsia="宋体"/>
                <w:color w:val="000000"/>
                <w:szCs w:val="21"/>
                <w:lang w:val="en-US" w:eastAsia="zh-CN"/>
              </w:rPr>
              <w:t>满分3分。</w:t>
            </w:r>
            <w:r>
              <w:rPr>
                <w:color w:val="000000"/>
                <w:szCs w:val="21"/>
              </w:rPr>
              <w:t>（须提供合同原件及中标通知书原件，时间以合同签订时间为准，否则不得分）</w:t>
            </w:r>
          </w:p>
        </w:tc>
      </w:tr>
      <w:tr w14:paraId="66A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61" w:type="dxa"/>
            <w:vMerge w:val="restart"/>
            <w:tcBorders>
              <w:top w:val="single" w:color="auto" w:sz="4" w:space="0"/>
              <w:left w:val="single" w:color="auto" w:sz="4" w:space="0"/>
              <w:right w:val="single" w:color="auto" w:sz="4" w:space="0"/>
            </w:tcBorders>
            <w:noWrap w:val="0"/>
            <w:vAlign w:val="center"/>
          </w:tcPr>
          <w:p w14:paraId="3A908ADD">
            <w:pPr>
              <w:pStyle w:val="16"/>
              <w:spacing w:line="300" w:lineRule="auto"/>
              <w:jc w:val="center"/>
              <w:rPr>
                <w:rFonts w:hint="default" w:eastAsia="宋体"/>
                <w:color w:val="000000"/>
                <w:szCs w:val="21"/>
                <w:lang w:val="en-US" w:eastAsia="zh-CN"/>
              </w:rPr>
            </w:pPr>
            <w:r>
              <w:rPr>
                <w:rFonts w:hint="eastAsia" w:eastAsia="宋体"/>
                <w:color w:val="000000"/>
                <w:szCs w:val="21"/>
                <w:lang w:val="en-US" w:eastAsia="zh-CN"/>
              </w:rPr>
              <w:t>技术评审</w:t>
            </w:r>
          </w:p>
        </w:tc>
        <w:tc>
          <w:tcPr>
            <w:tcW w:w="900" w:type="dxa"/>
            <w:vMerge w:val="restart"/>
            <w:tcBorders>
              <w:top w:val="single" w:color="auto" w:sz="4" w:space="0"/>
              <w:left w:val="single" w:color="auto" w:sz="4" w:space="0"/>
              <w:right w:val="single" w:color="auto" w:sz="4" w:space="0"/>
            </w:tcBorders>
            <w:noWrap w:val="0"/>
            <w:vAlign w:val="center"/>
          </w:tcPr>
          <w:p w14:paraId="01A401B2">
            <w:pPr>
              <w:pStyle w:val="16"/>
              <w:spacing w:line="300" w:lineRule="auto"/>
              <w:jc w:val="center"/>
              <w:rPr>
                <w:color w:val="000000"/>
                <w:szCs w:val="21"/>
              </w:rPr>
            </w:pPr>
            <w:r>
              <w:rPr>
                <w:rFonts w:hint="eastAsia"/>
                <w:color w:val="000000"/>
                <w:szCs w:val="21"/>
                <w:lang w:val="en-US" w:eastAsia="zh-CN"/>
              </w:rPr>
              <w:t>7</w:t>
            </w:r>
            <w:r>
              <w:rPr>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BC16E13">
            <w:pPr>
              <w:pStyle w:val="16"/>
              <w:spacing w:line="300" w:lineRule="auto"/>
              <w:rPr>
                <w:rFonts w:hint="default" w:ascii="Times New Roman" w:hAnsi="Times New Roman" w:eastAsia="宋体" w:cs="Times New Roman"/>
                <w:snapToGrid w:val="0"/>
                <w:color w:val="000000"/>
                <w:kern w:val="0"/>
                <w:sz w:val="20"/>
                <w:szCs w:val="21"/>
                <w:lang w:val="en-US" w:eastAsia="zh-CN" w:bidi="ar-SA"/>
              </w:rPr>
            </w:pPr>
            <w:r>
              <w:rPr>
                <w:rFonts w:hint="eastAsia" w:eastAsia="宋体"/>
                <w:color w:val="000000"/>
                <w:szCs w:val="21"/>
                <w:lang w:val="en-US" w:eastAsia="zh-CN"/>
              </w:rPr>
              <w:t>1</w:t>
            </w:r>
            <w:r>
              <w:rPr>
                <w:color w:val="000000"/>
                <w:szCs w:val="21"/>
              </w:rPr>
              <w:t>）</w:t>
            </w:r>
            <w:r>
              <w:rPr>
                <w:rFonts w:hint="eastAsia" w:eastAsia="宋体"/>
                <w:color w:val="000000"/>
                <w:szCs w:val="21"/>
                <w:lang w:val="en-US" w:eastAsia="zh-CN"/>
              </w:rPr>
              <w:t>服务</w:t>
            </w:r>
            <w:r>
              <w:rPr>
                <w:color w:val="000000"/>
                <w:szCs w:val="21"/>
              </w:rPr>
              <w:t>方案</w:t>
            </w:r>
            <w:r>
              <w:rPr>
                <w:rFonts w:hint="eastAsia" w:eastAsia="宋体"/>
                <w:color w:val="000000"/>
                <w:szCs w:val="21"/>
                <w:lang w:val="en-US" w:eastAsia="zh-CN"/>
              </w:rPr>
              <w:t>可行性</w:t>
            </w:r>
            <w:r>
              <w:rPr>
                <w:rFonts w:hint="eastAsia" w:eastAsia="宋体"/>
                <w:color w:val="000000"/>
                <w:szCs w:val="21"/>
                <w:lang w:eastAsia="zh-CN"/>
              </w:rPr>
              <w:t>，</w:t>
            </w:r>
            <w:r>
              <w:rPr>
                <w:rFonts w:hint="eastAsia" w:eastAsia="宋体"/>
                <w:color w:val="000000"/>
                <w:szCs w:val="21"/>
                <w:lang w:val="en-US" w:eastAsia="zh-CN"/>
              </w:rPr>
              <w:t>0-3分；</w:t>
            </w:r>
          </w:p>
        </w:tc>
      </w:tr>
      <w:tr w14:paraId="0BCE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61" w:type="dxa"/>
            <w:vMerge w:val="continue"/>
            <w:tcBorders>
              <w:left w:val="single" w:color="auto" w:sz="4" w:space="0"/>
              <w:right w:val="single" w:color="auto" w:sz="4" w:space="0"/>
            </w:tcBorders>
            <w:noWrap w:val="0"/>
            <w:vAlign w:val="center"/>
          </w:tcPr>
          <w:p w14:paraId="2CE271DB">
            <w:pPr>
              <w:pStyle w:val="16"/>
              <w:spacing w:line="300" w:lineRule="auto"/>
              <w:jc w:val="center"/>
              <w:rPr>
                <w:rFonts w:hint="eastAsia" w:eastAsia="宋体"/>
                <w:color w:val="000000"/>
                <w:szCs w:val="21"/>
                <w:lang w:val="en-US" w:eastAsia="zh-CN"/>
              </w:rPr>
            </w:pPr>
          </w:p>
        </w:tc>
        <w:tc>
          <w:tcPr>
            <w:tcW w:w="900" w:type="dxa"/>
            <w:vMerge w:val="continue"/>
            <w:tcBorders>
              <w:left w:val="single" w:color="auto" w:sz="4" w:space="0"/>
              <w:right w:val="single" w:color="auto" w:sz="4" w:space="0"/>
            </w:tcBorders>
            <w:noWrap w:val="0"/>
            <w:vAlign w:val="center"/>
          </w:tcPr>
          <w:p w14:paraId="4DA37390">
            <w:pPr>
              <w:pStyle w:val="16"/>
              <w:spacing w:line="300" w:lineRule="auto"/>
              <w:jc w:val="center"/>
              <w:rPr>
                <w:rFonts w:hint="eastAsia"/>
                <w:color w:val="000000"/>
                <w:szCs w:val="21"/>
                <w:lang w:val="en-US" w:eastAsia="zh-CN"/>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6FEA799">
            <w:pPr>
              <w:pStyle w:val="16"/>
              <w:spacing w:line="300" w:lineRule="auto"/>
              <w:rPr>
                <w:rFonts w:hint="eastAsia" w:eastAsia="宋体"/>
                <w:color w:val="000000"/>
                <w:szCs w:val="21"/>
                <w:lang w:val="en-US" w:eastAsia="zh-CN"/>
              </w:rPr>
            </w:pPr>
            <w:r>
              <w:rPr>
                <w:rFonts w:hint="eastAsia" w:eastAsia="宋体"/>
                <w:color w:val="000000"/>
                <w:szCs w:val="21"/>
                <w:lang w:val="en-US" w:eastAsia="zh-CN"/>
              </w:rPr>
              <w:t>2）项目技术、</w:t>
            </w:r>
            <w:r>
              <w:rPr>
                <w:color w:val="000000"/>
                <w:szCs w:val="21"/>
              </w:rPr>
              <w:t>进度</w:t>
            </w:r>
            <w:r>
              <w:rPr>
                <w:rFonts w:hint="eastAsia" w:eastAsia="宋体"/>
                <w:color w:val="000000"/>
                <w:szCs w:val="21"/>
                <w:lang w:eastAsia="zh-CN"/>
              </w:rPr>
              <w:t>、</w:t>
            </w:r>
            <w:r>
              <w:rPr>
                <w:rFonts w:hint="eastAsia" w:eastAsia="宋体"/>
                <w:color w:val="000000"/>
                <w:szCs w:val="21"/>
                <w:lang w:val="en-US" w:eastAsia="zh-CN"/>
              </w:rPr>
              <w:t>质量保证及服务承诺</w:t>
            </w:r>
            <w:r>
              <w:rPr>
                <w:rFonts w:hint="eastAsia" w:eastAsia="宋体"/>
                <w:color w:val="000000"/>
                <w:szCs w:val="21"/>
                <w:lang w:eastAsia="zh-CN"/>
              </w:rPr>
              <w:t>，</w:t>
            </w:r>
            <w:r>
              <w:rPr>
                <w:rFonts w:hint="eastAsia" w:eastAsia="宋体"/>
                <w:color w:val="000000"/>
                <w:szCs w:val="21"/>
                <w:lang w:val="en-US" w:eastAsia="zh-CN"/>
              </w:rPr>
              <w:t>0-4分</w:t>
            </w:r>
          </w:p>
        </w:tc>
      </w:tr>
      <w:tr w14:paraId="26B2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61" w:type="dxa"/>
            <w:tcBorders>
              <w:left w:val="single" w:color="auto" w:sz="4" w:space="0"/>
              <w:right w:val="single" w:color="auto" w:sz="4" w:space="0"/>
            </w:tcBorders>
            <w:noWrap w:val="0"/>
            <w:vAlign w:val="center"/>
          </w:tcPr>
          <w:p w14:paraId="48C3232B">
            <w:pPr>
              <w:pStyle w:val="15"/>
              <w:spacing w:line="300" w:lineRule="auto"/>
              <w:ind w:firstLine="0" w:firstLineChars="0"/>
              <w:jc w:val="center"/>
              <w:rPr>
                <w:rFonts w:ascii="Times New Roman" w:hAnsi="Times New Roman"/>
                <w:color w:val="000000"/>
                <w:kern w:val="0"/>
              </w:rPr>
            </w:pPr>
            <w:r>
              <w:rPr>
                <w:rFonts w:ascii="Times New Roman" w:hAnsi="Times New Roman"/>
                <w:color w:val="000000"/>
                <w:kern w:val="0"/>
              </w:rPr>
              <w:t>报价</w:t>
            </w:r>
          </w:p>
        </w:tc>
        <w:tc>
          <w:tcPr>
            <w:tcW w:w="900" w:type="dxa"/>
            <w:tcBorders>
              <w:left w:val="single" w:color="auto" w:sz="4" w:space="0"/>
              <w:right w:val="single" w:color="auto" w:sz="4" w:space="0"/>
            </w:tcBorders>
            <w:noWrap w:val="0"/>
            <w:vAlign w:val="center"/>
          </w:tcPr>
          <w:p w14:paraId="26787731">
            <w:pPr>
              <w:pStyle w:val="16"/>
              <w:spacing w:line="300" w:lineRule="auto"/>
              <w:jc w:val="center"/>
              <w:rPr>
                <w:color w:val="000000"/>
                <w:sz w:val="21"/>
                <w:szCs w:val="21"/>
              </w:rPr>
            </w:pPr>
            <w:r>
              <w:rPr>
                <w:rFonts w:hint="eastAsia" w:eastAsia="宋体"/>
                <w:color w:val="000000"/>
                <w:sz w:val="21"/>
                <w:szCs w:val="21"/>
                <w:lang w:val="en-US" w:eastAsia="zh-CN"/>
              </w:rPr>
              <w:t>90</w:t>
            </w:r>
            <w:r>
              <w:rPr>
                <w:color w:val="000000"/>
                <w:sz w:val="21"/>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1E3A40C">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hint="eastAsia" w:ascii="Times New Roman" w:hAnsi="Times New Roman" w:eastAsia="宋体" w:cs="Times New Roman"/>
                <w:color w:val="000000"/>
                <w:sz w:val="21"/>
                <w:szCs w:val="21"/>
                <w:lang w:val="en-US" w:eastAsia="zh-CN"/>
              </w:rPr>
              <w:t>评审</w:t>
            </w:r>
            <w:r>
              <w:rPr>
                <w:rFonts w:hint="eastAsia" w:ascii="Times New Roman" w:hAnsi="Times New Roman" w:cs="Times New Roman"/>
                <w:color w:val="000000"/>
                <w:sz w:val="21"/>
                <w:szCs w:val="21"/>
              </w:rPr>
              <w:t>基准价</w:t>
            </w:r>
          </w:p>
          <w:p w14:paraId="47B11354">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N≤5时，为有效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的最低报价值。</w:t>
            </w:r>
          </w:p>
          <w:p w14:paraId="13AD66E7">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N＞5时，为有效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的次低报价值 。</w:t>
            </w:r>
          </w:p>
          <w:p w14:paraId="6115C3C1">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报价分值=</w:t>
            </w:r>
            <w:r>
              <w:rPr>
                <w:rFonts w:hint="eastAsia" w:ascii="Times New Roman" w:hAnsi="Times New Roman" w:eastAsia="宋体" w:cs="Times New Roman"/>
                <w:color w:val="000000"/>
                <w:sz w:val="21"/>
                <w:szCs w:val="21"/>
                <w:lang w:val="en-US" w:eastAsia="zh-CN"/>
              </w:rPr>
              <w:t>评审</w:t>
            </w:r>
            <w:r>
              <w:rPr>
                <w:rFonts w:hint="eastAsia" w:ascii="Times New Roman" w:hAnsi="Times New Roman" w:cs="Times New Roman"/>
                <w:color w:val="000000"/>
                <w:sz w:val="21"/>
                <w:szCs w:val="21"/>
              </w:rPr>
              <w:t>基准价/</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w:t>
            </w:r>
            <w:r>
              <w:rPr>
                <w:rFonts w:hint="eastAsia" w:ascii="Times New Roman" w:hAnsi="Times New Roman" w:eastAsia="宋体" w:cs="Times New Roman"/>
                <w:color w:val="000000"/>
                <w:sz w:val="21"/>
                <w:szCs w:val="21"/>
                <w:lang w:val="en-US" w:eastAsia="zh-CN"/>
              </w:rPr>
              <w:t>90</w:t>
            </w:r>
            <w:r>
              <w:rPr>
                <w:rFonts w:hint="eastAsia" w:ascii="Times New Roman" w:hAnsi="Times New Roman" w:cs="Times New Roman"/>
                <w:color w:val="000000"/>
                <w:sz w:val="21"/>
                <w:szCs w:val="21"/>
              </w:rPr>
              <w:t xml:space="preserve"> （最高</w:t>
            </w:r>
            <w:r>
              <w:rPr>
                <w:rFonts w:hint="eastAsia" w:ascii="Times New Roman" w:hAnsi="Times New Roman" w:eastAsia="宋体" w:cs="Times New Roman"/>
                <w:color w:val="000000"/>
                <w:sz w:val="21"/>
                <w:szCs w:val="21"/>
                <w:lang w:val="en-US" w:eastAsia="zh-CN"/>
              </w:rPr>
              <w:t>90</w:t>
            </w:r>
            <w:r>
              <w:rPr>
                <w:rFonts w:hint="eastAsia" w:ascii="Times New Roman" w:hAnsi="Times New Roman" w:cs="Times New Roman"/>
                <w:color w:val="000000"/>
                <w:sz w:val="21"/>
                <w:szCs w:val="21"/>
              </w:rPr>
              <w:t>分）</w:t>
            </w:r>
          </w:p>
          <w:p w14:paraId="3F1423F3">
            <w:pPr>
              <w:spacing w:line="30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3.</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报价分值高于</w:t>
            </w:r>
            <w:r>
              <w:rPr>
                <w:rFonts w:hint="eastAsia" w:ascii="Times New Roman" w:hAnsi="Times New Roman" w:cs="Times New Roman"/>
                <w:color w:val="000000"/>
                <w:sz w:val="21"/>
                <w:szCs w:val="21"/>
                <w:lang w:val="en-US" w:eastAsia="zh-CN"/>
              </w:rPr>
              <w:t>90</w:t>
            </w:r>
            <w:r>
              <w:rPr>
                <w:rFonts w:hint="eastAsia" w:ascii="Times New Roman" w:hAnsi="Times New Roman" w:cs="Times New Roman"/>
                <w:color w:val="000000"/>
                <w:sz w:val="21"/>
                <w:szCs w:val="21"/>
              </w:rPr>
              <w:t>分按照</w:t>
            </w:r>
            <w:r>
              <w:rPr>
                <w:rFonts w:hint="eastAsia" w:ascii="Times New Roman" w:hAnsi="Times New Roman" w:cs="Times New Roman"/>
                <w:color w:val="000000"/>
                <w:sz w:val="21"/>
                <w:szCs w:val="21"/>
                <w:lang w:val="en-US" w:eastAsia="zh-CN"/>
              </w:rPr>
              <w:t>90</w:t>
            </w:r>
            <w:r>
              <w:rPr>
                <w:rFonts w:hint="eastAsia" w:ascii="Times New Roman" w:hAnsi="Times New Roman" w:cs="Times New Roman"/>
                <w:color w:val="000000"/>
                <w:sz w:val="21"/>
                <w:szCs w:val="21"/>
              </w:rPr>
              <w:t>分计算。</w:t>
            </w:r>
          </w:p>
        </w:tc>
      </w:tr>
    </w:tbl>
    <w:p w14:paraId="510580C4">
      <w:pPr>
        <w:spacing w:line="218" w:lineRule="auto"/>
        <w:rPr>
          <w:rFonts w:ascii="宋体" w:hAnsi="宋体" w:eastAsia="宋体" w:cs="宋体"/>
          <w:sz w:val="24"/>
          <w:szCs w:val="24"/>
        </w:rPr>
        <w:sectPr>
          <w:footerReference r:id="rId12" w:type="default"/>
          <w:pgSz w:w="11906" w:h="16839"/>
          <w:pgMar w:top="1431" w:right="1785" w:bottom="1156" w:left="1654" w:header="0" w:footer="994" w:gutter="0"/>
          <w:cols w:space="720" w:num="1"/>
        </w:sectPr>
      </w:pPr>
    </w:p>
    <w:p w14:paraId="204D6DED">
      <w:pPr>
        <w:spacing w:before="90" w:line="225" w:lineRule="auto"/>
        <w:ind w:left="7"/>
        <w:rPr>
          <w:rFonts w:ascii="黑体" w:hAnsi="黑体" w:eastAsia="黑体" w:cs="黑体"/>
          <w:sz w:val="43"/>
          <w:szCs w:val="43"/>
        </w:rPr>
      </w:pPr>
      <w:r>
        <w:rPr>
          <w:rFonts w:ascii="黑体" w:hAnsi="黑体" w:eastAsia="黑体" w:cs="黑体"/>
          <w:b/>
          <w:bCs/>
          <w:spacing w:val="5"/>
          <w:sz w:val="43"/>
          <w:szCs w:val="43"/>
        </w:rPr>
        <w:t>第四章</w:t>
      </w:r>
      <w:r>
        <w:rPr>
          <w:rFonts w:ascii="黑体" w:hAnsi="黑体" w:eastAsia="黑体" w:cs="黑体"/>
          <w:spacing w:val="5"/>
          <w:sz w:val="43"/>
          <w:szCs w:val="43"/>
        </w:rPr>
        <w:t xml:space="preserve">  </w:t>
      </w:r>
      <w:r>
        <w:rPr>
          <w:rFonts w:ascii="黑体" w:hAnsi="黑体" w:eastAsia="黑体" w:cs="黑体"/>
          <w:b/>
          <w:bCs/>
          <w:spacing w:val="5"/>
          <w:sz w:val="43"/>
          <w:szCs w:val="43"/>
        </w:rPr>
        <w:t>合同条款及格式</w:t>
      </w:r>
    </w:p>
    <w:p w14:paraId="3895AC8D">
      <w:pPr>
        <w:keepNext w:val="0"/>
        <w:keepLines w:val="0"/>
        <w:pageBreakBefore w:val="0"/>
        <w:widowControl/>
        <w:kinsoku w:val="0"/>
        <w:wordWrap/>
        <w:overflowPunct/>
        <w:topLinePunct w:val="0"/>
        <w:autoSpaceDE w:val="0"/>
        <w:autoSpaceDN w:val="0"/>
        <w:bidi w:val="0"/>
        <w:adjustRightInd w:val="0"/>
        <w:snapToGrid w:val="0"/>
        <w:spacing w:line="360" w:lineRule="auto"/>
        <w:ind w:left="596"/>
        <w:textAlignment w:val="baseline"/>
        <w:rPr>
          <w:rFonts w:ascii="宋体" w:hAnsi="宋体" w:eastAsia="宋体" w:cs="宋体"/>
          <w:sz w:val="28"/>
          <w:szCs w:val="28"/>
        </w:rPr>
      </w:pPr>
      <w:r>
        <w:rPr>
          <w:rFonts w:ascii="宋体" w:hAnsi="宋体" w:eastAsia="宋体" w:cs="宋体"/>
          <w:spacing w:val="-4"/>
          <w:sz w:val="28"/>
          <w:szCs w:val="28"/>
        </w:rPr>
        <w:t xml:space="preserve">甲    方：  </w:t>
      </w:r>
      <w:r>
        <w:rPr>
          <w:rFonts w:ascii="宋体" w:hAnsi="宋体" w:eastAsia="宋体" w:cs="宋体"/>
          <w:spacing w:val="-100"/>
          <w:sz w:val="28"/>
          <w:szCs w:val="28"/>
          <w:u w:val="single" w:color="auto"/>
        </w:rPr>
        <w:t xml:space="preserve"> </w:t>
      </w:r>
      <w:r>
        <w:rPr>
          <w:rFonts w:ascii="宋体" w:hAnsi="宋体" w:eastAsia="宋体" w:cs="宋体"/>
          <w:spacing w:val="-4"/>
          <w:sz w:val="28"/>
          <w:szCs w:val="28"/>
          <w:u w:val="single" w:color="auto"/>
        </w:rPr>
        <w:t>山东济钢环保新材料有限公司</w:t>
      </w:r>
    </w:p>
    <w:p w14:paraId="58A1237B">
      <w:pPr>
        <w:keepNext w:val="0"/>
        <w:keepLines w:val="0"/>
        <w:pageBreakBefore w:val="0"/>
        <w:widowControl/>
        <w:kinsoku w:val="0"/>
        <w:wordWrap/>
        <w:overflowPunct/>
        <w:topLinePunct w:val="0"/>
        <w:autoSpaceDE w:val="0"/>
        <w:autoSpaceDN w:val="0"/>
        <w:bidi w:val="0"/>
        <w:adjustRightInd w:val="0"/>
        <w:snapToGrid w:val="0"/>
        <w:spacing w:line="360" w:lineRule="auto"/>
        <w:ind w:left="587"/>
        <w:textAlignment w:val="baseline"/>
        <w:rPr>
          <w:rFonts w:ascii="宋体" w:hAnsi="宋体" w:eastAsia="宋体" w:cs="宋体"/>
          <w:sz w:val="28"/>
          <w:szCs w:val="28"/>
        </w:rPr>
      </w:pPr>
      <w:r>
        <w:rPr>
          <w:rFonts w:ascii="宋体" w:hAnsi="宋体" w:eastAsia="宋体" w:cs="宋体"/>
          <w:spacing w:val="-28"/>
          <w:sz w:val="28"/>
          <w:szCs w:val="28"/>
        </w:rPr>
        <w:t>乙</w:t>
      </w:r>
      <w:r>
        <w:rPr>
          <w:rFonts w:ascii="宋体" w:hAnsi="宋体" w:eastAsia="宋体" w:cs="宋体"/>
          <w:spacing w:val="2"/>
          <w:sz w:val="28"/>
          <w:szCs w:val="28"/>
        </w:rPr>
        <w:t xml:space="preserve">    </w:t>
      </w:r>
      <w:r>
        <w:rPr>
          <w:rFonts w:ascii="宋体" w:hAnsi="宋体" w:eastAsia="宋体" w:cs="宋体"/>
          <w:spacing w:val="-28"/>
          <w:sz w:val="28"/>
          <w:szCs w:val="28"/>
        </w:rPr>
        <w:t>方</w:t>
      </w:r>
      <w:r>
        <w:rPr>
          <w:rFonts w:ascii="宋体" w:hAnsi="宋体" w:eastAsia="宋体" w:cs="宋体"/>
          <w:spacing w:val="-103"/>
          <w:sz w:val="28"/>
          <w:szCs w:val="28"/>
        </w:rPr>
        <w:t xml:space="preserve"> </w:t>
      </w:r>
      <w:r>
        <w:rPr>
          <w:rFonts w:ascii="宋体" w:hAnsi="宋体" w:eastAsia="宋体" w:cs="宋体"/>
          <w:spacing w:val="-28"/>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p>
    <w:p w14:paraId="7C09AE22">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ascii="宋体" w:hAnsi="宋体" w:eastAsia="宋体" w:cs="宋体"/>
          <w:spacing w:val="-3"/>
          <w:sz w:val="28"/>
          <w:szCs w:val="28"/>
        </w:rPr>
      </w:pPr>
      <w:r>
        <w:rPr>
          <w:rFonts w:ascii="宋体" w:hAnsi="宋体" w:eastAsia="宋体" w:cs="宋体"/>
          <w:spacing w:val="-3"/>
          <w:sz w:val="28"/>
          <w:szCs w:val="28"/>
        </w:rPr>
        <w:t>项目名称:</w:t>
      </w:r>
      <w:r>
        <w:rPr>
          <w:rFonts w:hint="eastAsia" w:ascii="宋体" w:hAnsi="宋体" w:eastAsia="宋体" w:cs="宋体"/>
          <w:spacing w:val="-3"/>
          <w:sz w:val="28"/>
          <w:szCs w:val="28"/>
          <w:u w:val="single"/>
        </w:rPr>
        <w:t>山东济钢环保新材料有限公司济南市章丘区官庄弓角湾南建筑石料用灰岩东矿区绿色矿山建设实施方案编制</w:t>
      </w:r>
    </w:p>
    <w:p w14:paraId="71A915F4">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ascii="宋体" w:hAnsi="宋体" w:eastAsia="宋体" w:cs="宋体"/>
          <w:sz w:val="28"/>
          <w:szCs w:val="28"/>
        </w:rPr>
      </w:pPr>
      <w:r>
        <w:rPr>
          <w:rFonts w:ascii="宋体" w:hAnsi="宋体" w:eastAsia="宋体" w:cs="宋体"/>
          <w:spacing w:val="-3"/>
          <w:sz w:val="28"/>
          <w:szCs w:val="28"/>
        </w:rPr>
        <w:t>根据《中华人民共和国民法典》和有关关法律法规，就乙方为甲方</w:t>
      </w:r>
      <w:r>
        <w:rPr>
          <w:rFonts w:ascii="宋体" w:hAnsi="宋体" w:eastAsia="宋体" w:cs="宋体"/>
          <w:spacing w:val="12"/>
          <w:sz w:val="28"/>
          <w:szCs w:val="28"/>
        </w:rPr>
        <w:t xml:space="preserve"> </w:t>
      </w:r>
      <w:r>
        <w:rPr>
          <w:rFonts w:ascii="宋体" w:hAnsi="宋体" w:eastAsia="宋体" w:cs="宋体"/>
          <w:spacing w:val="1"/>
          <w:sz w:val="28"/>
          <w:szCs w:val="28"/>
        </w:rPr>
        <w:t>编制</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山东济钢环保新材料有限公司济南市章丘区官庄弓角湾南建筑石料用灰岩东矿区绿色矿山建设实施方案</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含</w:t>
      </w:r>
      <w:r>
        <w:rPr>
          <w:rFonts w:ascii="宋体" w:hAnsi="宋体" w:eastAsia="宋体" w:cs="宋体"/>
          <w:spacing w:val="1"/>
          <w:sz w:val="28"/>
          <w:szCs w:val="28"/>
        </w:rPr>
        <w:t>附表、附图、附件</w:t>
      </w:r>
      <w:r>
        <w:rPr>
          <w:rFonts w:hint="eastAsia" w:ascii="宋体" w:hAnsi="宋体" w:eastAsia="宋体" w:cs="宋体"/>
          <w:spacing w:val="1"/>
          <w:sz w:val="28"/>
          <w:szCs w:val="28"/>
          <w:lang w:eastAsia="zh-CN"/>
        </w:rPr>
        <w:t>）</w:t>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并</w:t>
      </w:r>
      <w:r>
        <w:rPr>
          <w:rFonts w:ascii="宋体" w:hAnsi="宋体" w:eastAsia="宋体" w:cs="宋体"/>
          <w:spacing w:val="1"/>
          <w:sz w:val="28"/>
          <w:szCs w:val="28"/>
        </w:rPr>
        <w:t>负责评审及</w:t>
      </w:r>
      <w:r>
        <w:rPr>
          <w:rFonts w:hint="eastAsia" w:ascii="宋体" w:hAnsi="宋体" w:eastAsia="宋体" w:cs="宋体"/>
          <w:spacing w:val="1"/>
          <w:sz w:val="28"/>
          <w:szCs w:val="28"/>
          <w:lang w:val="en-US" w:eastAsia="zh-CN"/>
        </w:rPr>
        <w:t>备案</w:t>
      </w:r>
      <w:r>
        <w:rPr>
          <w:rFonts w:ascii="宋体" w:hAnsi="宋体" w:eastAsia="宋体" w:cs="宋体"/>
          <w:spacing w:val="1"/>
          <w:sz w:val="28"/>
          <w:szCs w:val="28"/>
        </w:rPr>
        <w:t>事宜，</w:t>
      </w:r>
      <w:r>
        <w:rPr>
          <w:rFonts w:ascii="宋体" w:hAnsi="宋体" w:eastAsia="宋体" w:cs="宋体"/>
          <w:spacing w:val="-1"/>
          <w:sz w:val="28"/>
          <w:szCs w:val="28"/>
        </w:rPr>
        <w:t>经双方友好协商一致签订本合同。</w:t>
      </w:r>
    </w:p>
    <w:p w14:paraId="2ED54C03">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ascii="宋体" w:hAnsi="宋体" w:eastAsia="宋体" w:cs="宋体"/>
          <w:spacing w:val="-1"/>
          <w:sz w:val="28"/>
          <w:szCs w:val="28"/>
        </w:rPr>
      </w:pPr>
      <w:r>
        <w:rPr>
          <w:rFonts w:ascii="宋体" w:hAnsi="宋体" w:eastAsia="宋体" w:cs="宋体"/>
          <w:b/>
          <w:bCs/>
          <w:spacing w:val="-2"/>
          <w:sz w:val="28"/>
          <w:szCs w:val="28"/>
        </w:rPr>
        <w:t>第一条</w:t>
      </w:r>
      <w:r>
        <w:rPr>
          <w:rFonts w:ascii="宋体" w:hAnsi="宋体" w:eastAsia="宋体" w:cs="宋体"/>
          <w:spacing w:val="-2"/>
          <w:sz w:val="28"/>
          <w:szCs w:val="28"/>
        </w:rPr>
        <w:t xml:space="preserve">   甲方委托乙方</w:t>
      </w:r>
      <w:r>
        <w:rPr>
          <w:rFonts w:hint="eastAsia" w:ascii="宋体" w:hAnsi="宋体" w:eastAsia="宋体" w:cs="宋体"/>
          <w:spacing w:val="-3"/>
          <w:sz w:val="28"/>
          <w:szCs w:val="28"/>
        </w:rPr>
        <w:t>开展</w:t>
      </w:r>
      <w:r>
        <w:rPr>
          <w:rFonts w:hint="eastAsia" w:ascii="宋体" w:hAnsi="宋体" w:eastAsia="宋体" w:cs="宋体"/>
          <w:spacing w:val="-3"/>
          <w:sz w:val="28"/>
          <w:szCs w:val="28"/>
          <w:u w:val="single" w:color="auto"/>
        </w:rPr>
        <w:t>山东</w:t>
      </w:r>
      <w:r>
        <w:rPr>
          <w:rFonts w:hint="eastAsia" w:ascii="宋体" w:hAnsi="宋体" w:eastAsia="宋体" w:cs="宋体"/>
          <w:spacing w:val="40"/>
          <w:sz w:val="28"/>
          <w:szCs w:val="28"/>
          <w:u w:val="single" w:color="auto"/>
        </w:rPr>
        <w:t>济钢环保新材料有限公司济南市章丘区官庄弓角湾南建筑石料用灰岩东矿区绿色矿山建设实施方案编制</w:t>
      </w:r>
      <w:r>
        <w:rPr>
          <w:rFonts w:ascii="宋体" w:hAnsi="宋体" w:eastAsia="宋体" w:cs="宋体"/>
          <w:spacing w:val="-2"/>
          <w:sz w:val="28"/>
          <w:szCs w:val="28"/>
        </w:rPr>
        <w:t>工作</w:t>
      </w:r>
      <w:r>
        <w:rPr>
          <w:rFonts w:ascii="宋体" w:hAnsi="宋体" w:eastAsia="宋体" w:cs="宋体"/>
          <w:spacing w:val="-3"/>
          <w:sz w:val="28"/>
          <w:szCs w:val="28"/>
        </w:rPr>
        <w:t>，编写</w:t>
      </w:r>
      <w:r>
        <w:rPr>
          <w:rFonts w:hint="eastAsia" w:ascii="宋体" w:hAnsi="宋体" w:eastAsia="宋体" w:cs="宋体"/>
          <w:spacing w:val="-3"/>
          <w:sz w:val="28"/>
          <w:szCs w:val="28"/>
          <w:lang w:eastAsia="zh-CN"/>
        </w:rPr>
        <w:t>《山东济钢环保新材料有限公司济南市章丘区官庄弓角湾南建筑石料用灰岩东矿区绿色矿山建设实施方案》（</w:t>
      </w:r>
      <w:r>
        <w:rPr>
          <w:rFonts w:hint="eastAsia" w:ascii="宋体" w:hAnsi="宋体" w:eastAsia="宋体" w:cs="宋体"/>
          <w:spacing w:val="1"/>
          <w:sz w:val="28"/>
          <w:szCs w:val="28"/>
          <w:lang w:val="en-US" w:eastAsia="zh-CN"/>
        </w:rPr>
        <w:t>含</w:t>
      </w:r>
      <w:r>
        <w:rPr>
          <w:rFonts w:ascii="宋体" w:hAnsi="宋体" w:eastAsia="宋体" w:cs="宋体"/>
          <w:spacing w:val="1"/>
          <w:sz w:val="28"/>
          <w:szCs w:val="28"/>
        </w:rPr>
        <w:t>附表、附图、附件</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并通过专家评审和自然资源主管部门备案</w:t>
      </w:r>
      <w:r>
        <w:rPr>
          <w:rFonts w:ascii="宋体" w:hAnsi="宋体" w:eastAsia="宋体" w:cs="宋体"/>
          <w:spacing w:val="-1"/>
          <w:sz w:val="28"/>
          <w:szCs w:val="28"/>
        </w:rPr>
        <w:t>。</w:t>
      </w:r>
    </w:p>
    <w:p w14:paraId="3271BA07">
      <w:pPr>
        <w:keepNext w:val="0"/>
        <w:keepLines w:val="0"/>
        <w:pageBreakBefore w:val="0"/>
        <w:widowControl/>
        <w:kinsoku w:val="0"/>
        <w:wordWrap/>
        <w:overflowPunct/>
        <w:topLinePunct w:val="0"/>
        <w:autoSpaceDE w:val="0"/>
        <w:autoSpaceDN w:val="0"/>
        <w:bidi w:val="0"/>
        <w:adjustRightInd w:val="0"/>
        <w:snapToGrid w:val="0"/>
        <w:spacing w:line="360" w:lineRule="auto"/>
        <w:ind w:left="32" w:firstLine="533"/>
        <w:textAlignment w:val="baseline"/>
        <w:rPr>
          <w:rFonts w:ascii="宋体" w:hAnsi="宋体" w:eastAsia="宋体" w:cs="宋体"/>
          <w:sz w:val="28"/>
          <w:szCs w:val="28"/>
        </w:rPr>
      </w:pPr>
      <w:r>
        <w:rPr>
          <w:rFonts w:hint="eastAsia" w:ascii="宋体" w:hAnsi="宋体" w:eastAsia="宋体" w:cs="宋体"/>
          <w:spacing w:val="-5"/>
          <w:sz w:val="28"/>
          <w:szCs w:val="28"/>
          <w:lang w:val="en-US" w:eastAsia="zh-CN"/>
        </w:rPr>
        <w:t>工期：</w:t>
      </w:r>
      <w:r>
        <w:rPr>
          <w:rFonts w:ascii="宋体" w:hAnsi="宋体" w:eastAsia="宋体" w:cs="宋体"/>
          <w:spacing w:val="-52"/>
          <w:sz w:val="28"/>
          <w:szCs w:val="28"/>
        </w:rPr>
        <w:t xml:space="preserve"> </w:t>
      </w:r>
      <w:r>
        <w:rPr>
          <w:rFonts w:ascii="仿宋" w:hAnsi="仿宋" w:eastAsia="仿宋" w:cs="仿宋"/>
          <w:spacing w:val="-5"/>
          <w:sz w:val="28"/>
          <w:szCs w:val="28"/>
          <w:u w:val="single" w:color="auto"/>
        </w:rPr>
        <w:t>202</w:t>
      </w:r>
      <w:r>
        <w:rPr>
          <w:rFonts w:hint="eastAsia" w:ascii="仿宋" w:hAnsi="仿宋" w:eastAsia="仿宋" w:cs="仿宋"/>
          <w:spacing w:val="-5"/>
          <w:sz w:val="28"/>
          <w:szCs w:val="28"/>
          <w:u w:val="single" w:color="auto"/>
          <w:lang w:val="en-US" w:eastAsia="zh-CN"/>
        </w:rPr>
        <w:t>5</w:t>
      </w:r>
      <w:r>
        <w:rPr>
          <w:rFonts w:ascii="仿宋" w:hAnsi="仿宋" w:eastAsia="仿宋" w:cs="仿宋"/>
          <w:spacing w:val="-57"/>
          <w:sz w:val="28"/>
          <w:szCs w:val="28"/>
          <w:u w:val="single" w:color="auto"/>
        </w:rPr>
        <w:t xml:space="preserve"> </w:t>
      </w:r>
      <w:r>
        <w:rPr>
          <w:rFonts w:ascii="宋体" w:hAnsi="宋体" w:eastAsia="宋体" w:cs="宋体"/>
          <w:spacing w:val="-5"/>
          <w:sz w:val="28"/>
          <w:szCs w:val="28"/>
        </w:rPr>
        <w:t>年</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月</w:t>
      </w:r>
      <w:r>
        <w:rPr>
          <w:rFonts w:ascii="宋体" w:hAnsi="宋体" w:eastAsia="宋体" w:cs="宋体"/>
          <w:spacing w:val="-5"/>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5"/>
          <w:sz w:val="28"/>
          <w:szCs w:val="28"/>
        </w:rPr>
        <w:t>日前向甲方提交</w:t>
      </w:r>
      <w:r>
        <w:rPr>
          <w:rFonts w:hint="eastAsia" w:ascii="宋体" w:hAnsi="宋体" w:eastAsia="宋体" w:cs="宋体"/>
          <w:spacing w:val="-5"/>
          <w:sz w:val="28"/>
          <w:szCs w:val="28"/>
          <w:lang w:val="en-US" w:eastAsia="zh-CN"/>
        </w:rPr>
        <w:t>通过专家审查及备案的</w:t>
      </w:r>
      <w:r>
        <w:rPr>
          <w:rFonts w:ascii="宋体" w:hAnsi="宋体" w:eastAsia="宋体" w:cs="宋体"/>
          <w:spacing w:val="-5"/>
          <w:sz w:val="28"/>
          <w:szCs w:val="28"/>
        </w:rPr>
        <w:t>报告</w:t>
      </w:r>
      <w:r>
        <w:rPr>
          <w:rFonts w:hint="eastAsia" w:ascii="宋体" w:hAnsi="宋体" w:eastAsia="宋体" w:cs="宋体"/>
          <w:spacing w:val="-5"/>
          <w:sz w:val="28"/>
          <w:szCs w:val="28"/>
          <w:lang w:val="en-US" w:eastAsia="zh-CN"/>
        </w:rPr>
        <w:t>终</w:t>
      </w:r>
      <w:r>
        <w:rPr>
          <w:rFonts w:ascii="宋体" w:hAnsi="宋体" w:eastAsia="宋体" w:cs="宋体"/>
          <w:spacing w:val="-5"/>
          <w:sz w:val="28"/>
          <w:szCs w:val="28"/>
        </w:rPr>
        <w:t>稿</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lang w:val="en-US" w:eastAsia="zh-CN"/>
        </w:rPr>
        <w:t>审查意见</w:t>
      </w:r>
      <w:r>
        <w:rPr>
          <w:rFonts w:ascii="宋体" w:hAnsi="宋体" w:eastAsia="宋体" w:cs="宋体"/>
          <w:spacing w:val="-1"/>
          <w:sz w:val="28"/>
          <w:szCs w:val="28"/>
        </w:rPr>
        <w:t>等</w:t>
      </w:r>
      <w:r>
        <w:rPr>
          <w:rFonts w:hint="eastAsia" w:ascii="宋体" w:hAnsi="宋体" w:eastAsia="宋体" w:cs="宋体"/>
          <w:spacing w:val="-1"/>
          <w:sz w:val="28"/>
          <w:szCs w:val="28"/>
          <w:lang w:val="en-US" w:eastAsia="zh-CN"/>
        </w:rPr>
        <w:t>全套</w:t>
      </w:r>
      <w:r>
        <w:rPr>
          <w:rFonts w:ascii="宋体" w:hAnsi="宋体" w:eastAsia="宋体" w:cs="宋体"/>
          <w:spacing w:val="-1"/>
          <w:sz w:val="28"/>
          <w:szCs w:val="28"/>
        </w:rPr>
        <w:t>资料</w:t>
      </w:r>
      <w:r>
        <w:rPr>
          <w:rFonts w:ascii="宋体" w:hAnsi="宋体" w:eastAsia="宋体" w:cs="宋体"/>
          <w:spacing w:val="-11"/>
          <w:sz w:val="28"/>
          <w:szCs w:val="28"/>
        </w:rPr>
        <w:t>；</w:t>
      </w:r>
    </w:p>
    <w:p w14:paraId="2377D9FB">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rPr>
          <w:rFonts w:ascii="宋体" w:hAnsi="宋体" w:eastAsia="宋体" w:cs="宋体"/>
          <w:sz w:val="28"/>
          <w:szCs w:val="28"/>
        </w:rPr>
      </w:pPr>
      <w:r>
        <w:rPr>
          <w:rFonts w:ascii="宋体" w:hAnsi="宋体" w:eastAsia="宋体" w:cs="宋体"/>
          <w:b/>
          <w:bCs/>
          <w:spacing w:val="-3"/>
          <w:sz w:val="28"/>
          <w:szCs w:val="28"/>
        </w:rPr>
        <w:t>第二条</w:t>
      </w:r>
      <w:r>
        <w:rPr>
          <w:rFonts w:ascii="宋体" w:hAnsi="宋体" w:eastAsia="宋体" w:cs="宋体"/>
          <w:spacing w:val="-3"/>
          <w:sz w:val="28"/>
          <w:szCs w:val="28"/>
        </w:rPr>
        <w:t xml:space="preserve">   </w:t>
      </w:r>
      <w:r>
        <w:rPr>
          <w:rFonts w:ascii="宋体" w:hAnsi="宋体" w:eastAsia="宋体" w:cs="宋体"/>
          <w:b/>
          <w:bCs/>
          <w:spacing w:val="-3"/>
          <w:sz w:val="28"/>
          <w:szCs w:val="28"/>
        </w:rPr>
        <w:t>工作依据政策文件</w:t>
      </w:r>
    </w:p>
    <w:p w14:paraId="58138387">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rPr>
      </w:pPr>
      <w:r>
        <w:rPr>
          <w:rFonts w:hint="eastAsia" w:ascii="宋体" w:hAnsi="宋体" w:eastAsia="宋体" w:cs="宋体"/>
          <w:spacing w:val="-3"/>
          <w:sz w:val="28"/>
          <w:szCs w:val="28"/>
        </w:rPr>
        <w:t>1、《自然资源部 生态环境部 财政部 国家市场监督管理总局 国家金融监督管理总局 中国证券监督管理委员会 国家林业和草原局关于进一步加强绿色矿山建设的通知》（自然资规〔2024〕1号）</w:t>
      </w:r>
    </w:p>
    <w:p w14:paraId="71F4A345">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eastAsia="zh-CN"/>
        </w:rPr>
      </w:pPr>
      <w:r>
        <w:rPr>
          <w:rFonts w:hint="eastAsia" w:ascii="宋体" w:hAnsi="宋体" w:eastAsia="宋体" w:cs="宋体"/>
          <w:spacing w:val="-3"/>
          <w:sz w:val="28"/>
          <w:szCs w:val="28"/>
          <w:lang w:val="en-US" w:eastAsia="zh-CN"/>
        </w:rPr>
        <w:t>2、2025年3月4日，山东省自然资源厅、山东省财政厅、山东省生态环境厅、山东省应急管理厅、山东省市场监督管理局、山东省能源局、国家金融监督管理总局山东监管局、中国证券监督管理委员会山东监管局印发修订后的《山东省绿色矿山建设管理办法》（自2025年4月1日起施行）</w:t>
      </w:r>
      <w:r>
        <w:rPr>
          <w:rFonts w:hint="eastAsia" w:ascii="宋体" w:hAnsi="宋体" w:eastAsia="宋体" w:cs="宋体"/>
          <w:spacing w:val="-3"/>
          <w:sz w:val="28"/>
          <w:szCs w:val="28"/>
          <w:lang w:eastAsia="zh-CN"/>
        </w:rPr>
        <w:t>；</w:t>
      </w:r>
    </w:p>
    <w:p w14:paraId="1B470C11">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3、其他国家及省市区各级政府部门关于绿色矿山建设工作相关要求。</w:t>
      </w:r>
    </w:p>
    <w:p w14:paraId="753F7BCE">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rPr>
          <w:rFonts w:ascii="宋体" w:hAnsi="宋体" w:eastAsia="宋体" w:cs="宋体"/>
          <w:sz w:val="28"/>
          <w:szCs w:val="28"/>
        </w:rPr>
      </w:pPr>
      <w:r>
        <w:rPr>
          <w:rFonts w:ascii="宋体" w:hAnsi="宋体" w:eastAsia="宋体" w:cs="宋体"/>
          <w:b/>
          <w:bCs/>
          <w:spacing w:val="-3"/>
          <w:sz w:val="28"/>
          <w:szCs w:val="28"/>
        </w:rPr>
        <w:t>第三条</w:t>
      </w:r>
      <w:r>
        <w:rPr>
          <w:rFonts w:ascii="宋体" w:hAnsi="宋体" w:eastAsia="宋体" w:cs="宋体"/>
          <w:spacing w:val="-3"/>
          <w:sz w:val="28"/>
          <w:szCs w:val="28"/>
        </w:rPr>
        <w:t xml:space="preserve">   </w:t>
      </w:r>
      <w:r>
        <w:rPr>
          <w:rFonts w:ascii="宋体" w:hAnsi="宋体" w:eastAsia="宋体" w:cs="宋体"/>
          <w:b/>
          <w:bCs/>
          <w:spacing w:val="-3"/>
          <w:sz w:val="28"/>
          <w:szCs w:val="28"/>
        </w:rPr>
        <w:t>双方权利与义务</w:t>
      </w:r>
    </w:p>
    <w:p w14:paraId="3BF83ACD">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（一）甲方</w:t>
      </w:r>
    </w:p>
    <w:p w14:paraId="4DE7CC68">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1、提供矿山许可范围、开发利用方案、开采（初步）设计、矿区现状开采情况等有关资料，并保证提供数据的真实可靠。</w:t>
      </w:r>
    </w:p>
    <w:p w14:paraId="43B9E813">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2、保证乙方顺利进入现场工作，并向乙方提供现场工作可能的便利条件。协助乙方完成专家评审和备案工作。</w:t>
      </w:r>
    </w:p>
    <w:p w14:paraId="36B97925">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3、按合同规定付款。</w:t>
      </w:r>
    </w:p>
    <w:p w14:paraId="2F13A31C">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（二）乙方</w:t>
      </w:r>
    </w:p>
    <w:p w14:paraId="33A486CC">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1、自合同签订之日起</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lang w:val="en-US" w:eastAsia="zh-CN"/>
        </w:rPr>
        <w:t>日内，根据甲方的有关资料和本合同的技术要求通过专家评审、自然资源主管部门备案。评审和备案过程由乙方负责。</w:t>
      </w:r>
    </w:p>
    <w:p w14:paraId="4D364536">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2、加强与甲方的工作联系，及时通报项目进展情况，确保该项目如期完成。</w:t>
      </w:r>
    </w:p>
    <w:p w14:paraId="31D8DBCC">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3、负责现场工作、报告编写、专家评审及备案工作等全过程并承担相应的费用。</w:t>
      </w:r>
    </w:p>
    <w:p w14:paraId="63411DBC">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4、向甲方提交的成果，包括定稿纸质版 6 套，电子版 1 套。</w:t>
      </w:r>
    </w:p>
    <w:p w14:paraId="584B8D61">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56"/>
        <w:textAlignment w:val="baseline"/>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本项目所涉及的技术资料及成果属保密范围，双方都负有保密义 务。任何一方不得向第三方泄露。</w:t>
      </w:r>
    </w:p>
    <w:p w14:paraId="02257D33">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三</w:t>
      </w:r>
      <w:r>
        <w:rPr>
          <w:rFonts w:ascii="宋体" w:hAnsi="宋体" w:eastAsia="宋体" w:cs="宋体"/>
          <w:b/>
          <w:bCs/>
          <w:spacing w:val="-3"/>
          <w:sz w:val="28"/>
          <w:szCs w:val="28"/>
        </w:rPr>
        <w:t>条、技术成果的分享</w:t>
      </w:r>
    </w:p>
    <w:p w14:paraId="5010CC7C">
      <w:pPr>
        <w:keepNext w:val="0"/>
        <w:keepLines w:val="0"/>
        <w:pageBreakBefore w:val="0"/>
        <w:widowControl/>
        <w:kinsoku w:val="0"/>
        <w:wordWrap/>
        <w:overflowPunct/>
        <w:topLinePunct w:val="0"/>
        <w:autoSpaceDE w:val="0"/>
        <w:autoSpaceDN w:val="0"/>
        <w:bidi w:val="0"/>
        <w:adjustRightInd w:val="0"/>
        <w:snapToGrid w:val="0"/>
        <w:spacing w:line="360" w:lineRule="auto"/>
        <w:ind w:left="2" w:right="76" w:firstLine="561"/>
        <w:textAlignment w:val="baseline"/>
        <w:rPr>
          <w:rFonts w:ascii="宋体" w:hAnsi="宋体" w:eastAsia="宋体" w:cs="宋体"/>
          <w:sz w:val="28"/>
          <w:szCs w:val="28"/>
        </w:rPr>
      </w:pPr>
      <w:r>
        <w:rPr>
          <w:rFonts w:ascii="宋体" w:hAnsi="宋体" w:eastAsia="宋体" w:cs="宋体"/>
          <w:spacing w:val="-2"/>
          <w:sz w:val="28"/>
          <w:szCs w:val="28"/>
        </w:rPr>
        <w:t>1、甲乙双方共享</w:t>
      </w:r>
      <w:r>
        <w:rPr>
          <w:rFonts w:hint="eastAsia" w:ascii="宋体" w:hAnsi="宋体" w:eastAsia="宋体" w:cs="宋体"/>
          <w:spacing w:val="-2"/>
          <w:sz w:val="28"/>
          <w:szCs w:val="28"/>
        </w:rPr>
        <w:t>甲方拥有该项目全部成果的所有权、使用权和著作权，乙方不得将该成果对外公布、使用、转让、出售</w:t>
      </w:r>
      <w:r>
        <w:rPr>
          <w:rFonts w:ascii="宋体" w:hAnsi="宋体" w:eastAsia="宋体" w:cs="宋体"/>
          <w:spacing w:val="-2"/>
          <w:sz w:val="28"/>
          <w:szCs w:val="28"/>
        </w:rPr>
        <w:t>。</w:t>
      </w:r>
    </w:p>
    <w:p w14:paraId="0D94A7B6">
      <w:pPr>
        <w:keepNext w:val="0"/>
        <w:keepLines w:val="0"/>
        <w:pageBreakBefore w:val="0"/>
        <w:widowControl/>
        <w:kinsoku w:val="0"/>
        <w:wordWrap/>
        <w:overflowPunct/>
        <w:topLinePunct w:val="0"/>
        <w:autoSpaceDE w:val="0"/>
        <w:autoSpaceDN w:val="0"/>
        <w:bidi w:val="0"/>
        <w:adjustRightInd w:val="0"/>
        <w:snapToGrid w:val="0"/>
        <w:spacing w:line="360" w:lineRule="auto"/>
        <w:ind w:left="2" w:right="76" w:firstLine="561"/>
        <w:textAlignment w:val="baseline"/>
        <w:rPr>
          <w:rFonts w:ascii="宋体" w:hAnsi="宋体" w:eastAsia="宋体" w:cs="宋体"/>
          <w:sz w:val="28"/>
          <w:szCs w:val="28"/>
        </w:rPr>
      </w:pPr>
      <w:r>
        <w:rPr>
          <w:rFonts w:ascii="宋体" w:hAnsi="宋体" w:eastAsia="宋体" w:cs="宋体"/>
          <w:spacing w:val="-1"/>
          <w:sz w:val="28"/>
          <w:szCs w:val="28"/>
        </w:rPr>
        <w:t>2、本项目所涉及的技术资料及成果属保密范围的，双方都负有保</w:t>
      </w:r>
      <w:r>
        <w:rPr>
          <w:rFonts w:ascii="宋体" w:hAnsi="宋体" w:eastAsia="宋体" w:cs="宋体"/>
          <w:spacing w:val="16"/>
          <w:sz w:val="28"/>
          <w:szCs w:val="28"/>
        </w:rPr>
        <w:t xml:space="preserve"> </w:t>
      </w:r>
      <w:r>
        <w:rPr>
          <w:rFonts w:ascii="宋体" w:hAnsi="宋体" w:eastAsia="宋体" w:cs="宋体"/>
          <w:spacing w:val="-3"/>
          <w:sz w:val="28"/>
          <w:szCs w:val="28"/>
        </w:rPr>
        <w:t>密义务。</w:t>
      </w:r>
    </w:p>
    <w:p w14:paraId="6827CF97">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四</w:t>
      </w:r>
      <w:r>
        <w:rPr>
          <w:rFonts w:ascii="宋体" w:hAnsi="宋体" w:eastAsia="宋体" w:cs="宋体"/>
          <w:b/>
          <w:bCs/>
          <w:spacing w:val="-3"/>
          <w:sz w:val="28"/>
          <w:szCs w:val="28"/>
        </w:rPr>
        <w:t>条、验收标准和方法</w:t>
      </w:r>
    </w:p>
    <w:p w14:paraId="08CCBC22">
      <w:pPr>
        <w:keepNext w:val="0"/>
        <w:keepLines w:val="0"/>
        <w:pageBreakBefore w:val="0"/>
        <w:widowControl/>
        <w:kinsoku w:val="0"/>
        <w:wordWrap/>
        <w:overflowPunct/>
        <w:topLinePunct w:val="0"/>
        <w:autoSpaceDE w:val="0"/>
        <w:autoSpaceDN w:val="0"/>
        <w:bidi w:val="0"/>
        <w:adjustRightInd w:val="0"/>
        <w:snapToGrid w:val="0"/>
        <w:spacing w:line="360" w:lineRule="auto"/>
        <w:ind w:left="28" w:right="76" w:firstLine="552"/>
        <w:textAlignment w:val="baseline"/>
        <w:rPr>
          <w:rFonts w:ascii="宋体" w:hAnsi="宋体" w:eastAsia="宋体" w:cs="宋体"/>
          <w:sz w:val="28"/>
          <w:szCs w:val="28"/>
        </w:rPr>
      </w:pPr>
      <w:r>
        <w:rPr>
          <w:rFonts w:ascii="宋体" w:hAnsi="宋体" w:eastAsia="宋体" w:cs="宋体"/>
          <w:spacing w:val="-1"/>
          <w:sz w:val="28"/>
          <w:szCs w:val="28"/>
        </w:rPr>
        <w:t>1、乙方编制的</w:t>
      </w:r>
      <w:r>
        <w:rPr>
          <w:rFonts w:hint="eastAsia" w:ascii="宋体" w:hAnsi="宋体" w:eastAsia="宋体" w:cs="宋体"/>
          <w:spacing w:val="-1"/>
          <w:sz w:val="28"/>
          <w:szCs w:val="28"/>
          <w:lang w:eastAsia="zh-CN"/>
        </w:rPr>
        <w:t>《绿色矿山建设实施方案》</w:t>
      </w:r>
      <w:r>
        <w:rPr>
          <w:rFonts w:hint="eastAsia" w:ascii="宋体" w:hAnsi="宋体" w:eastAsia="宋体" w:cs="宋体"/>
          <w:spacing w:val="-1"/>
          <w:sz w:val="28"/>
          <w:szCs w:val="28"/>
          <w:lang w:val="en-US" w:eastAsia="zh-CN"/>
        </w:rPr>
        <w:t>（含附表、附图、附件）</w:t>
      </w:r>
      <w:r>
        <w:rPr>
          <w:rFonts w:ascii="宋体" w:hAnsi="宋体" w:eastAsia="宋体" w:cs="宋体"/>
          <w:spacing w:val="-1"/>
          <w:sz w:val="28"/>
          <w:szCs w:val="28"/>
        </w:rPr>
        <w:t>必须符合</w:t>
      </w:r>
      <w:r>
        <w:rPr>
          <w:rFonts w:hint="eastAsia" w:ascii="宋体" w:hAnsi="宋体" w:eastAsia="宋体" w:cs="宋体"/>
          <w:spacing w:val="-1"/>
          <w:sz w:val="28"/>
          <w:szCs w:val="28"/>
          <w:lang w:val="en-US" w:eastAsia="zh-CN"/>
        </w:rPr>
        <w:t>相关</w:t>
      </w:r>
      <w:r>
        <w:rPr>
          <w:rFonts w:ascii="宋体" w:hAnsi="宋体" w:eastAsia="宋体" w:cs="宋体"/>
          <w:spacing w:val="-1"/>
          <w:sz w:val="28"/>
          <w:szCs w:val="28"/>
        </w:rPr>
        <w:t>政策文件规</w:t>
      </w:r>
      <w:r>
        <w:rPr>
          <w:rFonts w:ascii="宋体" w:hAnsi="宋体" w:eastAsia="宋体" w:cs="宋体"/>
          <w:spacing w:val="-2"/>
          <w:sz w:val="28"/>
          <w:szCs w:val="28"/>
        </w:rPr>
        <w:t>定和</w:t>
      </w:r>
      <w:r>
        <w:rPr>
          <w:rFonts w:ascii="宋体" w:hAnsi="宋体" w:eastAsia="宋体" w:cs="宋体"/>
          <w:spacing w:val="-3"/>
          <w:sz w:val="28"/>
          <w:szCs w:val="28"/>
        </w:rPr>
        <w:t>国家、省及地方的有关规定。</w:t>
      </w:r>
    </w:p>
    <w:p w14:paraId="51BE46A8">
      <w:pPr>
        <w:keepNext w:val="0"/>
        <w:keepLines w:val="0"/>
        <w:pageBreakBefore w:val="0"/>
        <w:widowControl/>
        <w:kinsoku w:val="0"/>
        <w:wordWrap/>
        <w:overflowPunct/>
        <w:topLinePunct w:val="0"/>
        <w:autoSpaceDE w:val="0"/>
        <w:autoSpaceDN w:val="0"/>
        <w:bidi w:val="0"/>
        <w:adjustRightInd w:val="0"/>
        <w:snapToGrid w:val="0"/>
        <w:spacing w:line="360" w:lineRule="auto"/>
        <w:ind w:left="3" w:right="76" w:firstLine="560"/>
        <w:textAlignment w:val="baseline"/>
        <w:rPr>
          <w:rFonts w:ascii="宋体" w:hAnsi="宋体" w:eastAsia="宋体" w:cs="宋体"/>
          <w:sz w:val="28"/>
          <w:szCs w:val="28"/>
        </w:rPr>
      </w:pPr>
      <w:r>
        <w:rPr>
          <w:rFonts w:ascii="宋体" w:hAnsi="宋体" w:eastAsia="宋体" w:cs="宋体"/>
          <w:spacing w:val="-1"/>
          <w:sz w:val="28"/>
          <w:szCs w:val="28"/>
        </w:rPr>
        <w:t>2、乙方编制的</w:t>
      </w:r>
      <w:r>
        <w:rPr>
          <w:rFonts w:hint="eastAsia" w:ascii="宋体" w:hAnsi="宋体" w:eastAsia="宋体" w:cs="宋体"/>
          <w:spacing w:val="-1"/>
          <w:sz w:val="28"/>
          <w:szCs w:val="28"/>
          <w:lang w:eastAsia="zh-CN"/>
        </w:rPr>
        <w:t>《绿色矿山建设实施方案</w:t>
      </w:r>
      <w:r>
        <w:rPr>
          <w:rFonts w:hint="eastAsia" w:ascii="宋体" w:hAnsi="宋体" w:eastAsia="宋体" w:cs="宋体"/>
          <w:spacing w:val="-1"/>
          <w:sz w:val="28"/>
          <w:szCs w:val="28"/>
        </w:rPr>
        <w:t>》（含附表、附图、附件）</w:t>
      </w:r>
      <w:r>
        <w:rPr>
          <w:rFonts w:ascii="宋体" w:hAnsi="宋体" w:eastAsia="宋体" w:cs="宋体"/>
          <w:spacing w:val="-1"/>
          <w:sz w:val="28"/>
          <w:szCs w:val="28"/>
        </w:rPr>
        <w:t>必须</w:t>
      </w:r>
      <w:r>
        <w:rPr>
          <w:rFonts w:hint="eastAsia" w:ascii="宋体" w:hAnsi="宋体" w:eastAsia="宋体" w:cs="宋体"/>
          <w:spacing w:val="-1"/>
          <w:sz w:val="28"/>
          <w:szCs w:val="28"/>
          <w:lang w:val="en-US" w:eastAsia="zh-CN"/>
        </w:rPr>
        <w:t>通过专家评审并取得专家</w:t>
      </w:r>
      <w:r>
        <w:rPr>
          <w:rFonts w:hint="eastAsia" w:ascii="宋体" w:hAnsi="宋体" w:eastAsia="宋体" w:cs="宋体"/>
          <w:spacing w:val="-2"/>
          <w:sz w:val="28"/>
          <w:szCs w:val="28"/>
          <w:lang w:val="en-US" w:eastAsia="zh-CN"/>
        </w:rPr>
        <w:t>审查意见及在自然资源主管部门备案</w:t>
      </w:r>
      <w:r>
        <w:rPr>
          <w:rFonts w:ascii="宋体" w:hAnsi="宋体" w:eastAsia="宋体" w:cs="宋体"/>
          <w:spacing w:val="-2"/>
          <w:sz w:val="28"/>
          <w:szCs w:val="28"/>
        </w:rPr>
        <w:t>。</w:t>
      </w:r>
    </w:p>
    <w:p w14:paraId="60F54856">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rPr>
          <w:rFonts w:ascii="宋体" w:hAnsi="宋体" w:eastAsia="宋体" w:cs="宋体"/>
          <w:b/>
          <w:bCs/>
          <w:spacing w:val="-3"/>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五</w:t>
      </w:r>
      <w:r>
        <w:rPr>
          <w:rFonts w:ascii="宋体" w:hAnsi="宋体" w:eastAsia="宋体" w:cs="宋体"/>
          <w:b/>
          <w:bCs/>
          <w:spacing w:val="-3"/>
          <w:sz w:val="28"/>
          <w:szCs w:val="28"/>
        </w:rPr>
        <w:t>条、合同价款及其支付方式</w:t>
      </w:r>
    </w:p>
    <w:p w14:paraId="6838F183">
      <w:pPr>
        <w:keepNext w:val="0"/>
        <w:keepLines w:val="0"/>
        <w:pageBreakBefore w:val="0"/>
        <w:widowControl/>
        <w:kinsoku w:val="0"/>
        <w:wordWrap/>
        <w:overflowPunct/>
        <w:topLinePunct w:val="0"/>
        <w:autoSpaceDE w:val="0"/>
        <w:autoSpaceDN w:val="0"/>
        <w:bidi w:val="0"/>
        <w:adjustRightInd w:val="0"/>
        <w:snapToGrid w:val="0"/>
        <w:spacing w:line="360" w:lineRule="auto"/>
        <w:ind w:left="28" w:right="76" w:firstLine="552"/>
        <w:jc w:val="both"/>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（1）本合同是固定总价合同，总费用：       元</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 xml:space="preserve">大写：      </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含</w:t>
      </w:r>
      <w:r>
        <w:rPr>
          <w:rFonts w:hint="eastAsia" w:ascii="宋体" w:hAnsi="宋体" w:eastAsia="宋体" w:cs="宋体"/>
          <w:spacing w:val="-1"/>
          <w:sz w:val="28"/>
          <w:szCs w:val="28"/>
          <w:lang w:val="en-US" w:eastAsia="zh-CN"/>
        </w:rPr>
        <w:t>增值</w:t>
      </w:r>
      <w:r>
        <w:rPr>
          <w:rFonts w:hint="eastAsia" w:ascii="宋体" w:hAnsi="宋体" w:eastAsia="宋体" w:cs="宋体"/>
          <w:spacing w:val="-1"/>
          <w:sz w:val="28"/>
          <w:szCs w:val="28"/>
        </w:rPr>
        <w:t>税</w:t>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%。包含</w:t>
      </w:r>
      <w:r>
        <w:rPr>
          <w:rFonts w:hint="eastAsia" w:ascii="宋体" w:hAnsi="宋体" w:eastAsia="宋体" w:cs="宋体"/>
          <w:spacing w:val="-1"/>
          <w:sz w:val="28"/>
          <w:szCs w:val="28"/>
          <w:lang w:val="en-US" w:eastAsia="zh-CN"/>
        </w:rPr>
        <w:t>项目措施</w:t>
      </w:r>
      <w:r>
        <w:rPr>
          <w:rFonts w:hint="eastAsia" w:ascii="宋体" w:hAnsi="宋体" w:eastAsia="宋体" w:cs="宋体"/>
          <w:spacing w:val="-1"/>
          <w:sz w:val="28"/>
          <w:szCs w:val="28"/>
        </w:rPr>
        <w:t>费、报告编制费、技术服务费、专家评审费、税金等全部费用。</w:t>
      </w:r>
    </w:p>
    <w:p w14:paraId="72F245BE">
      <w:pPr>
        <w:keepNext w:val="0"/>
        <w:keepLines w:val="0"/>
        <w:pageBreakBefore w:val="0"/>
        <w:widowControl/>
        <w:kinsoku w:val="0"/>
        <w:wordWrap/>
        <w:overflowPunct/>
        <w:topLinePunct w:val="0"/>
        <w:autoSpaceDE w:val="0"/>
        <w:autoSpaceDN w:val="0"/>
        <w:bidi w:val="0"/>
        <w:adjustRightInd w:val="0"/>
        <w:snapToGrid w:val="0"/>
        <w:spacing w:line="360" w:lineRule="auto"/>
        <w:ind w:left="28" w:right="76" w:firstLine="552"/>
        <w:jc w:val="both"/>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（2）支付</w:t>
      </w:r>
      <w:r>
        <w:rPr>
          <w:rFonts w:hint="eastAsia" w:ascii="宋体" w:hAnsi="宋体" w:eastAsia="宋体" w:cs="宋体"/>
          <w:spacing w:val="-3"/>
          <w:sz w:val="28"/>
          <w:szCs w:val="28"/>
        </w:rPr>
        <w:t>方式</w:t>
      </w:r>
      <w:r>
        <w:rPr>
          <w:rFonts w:hint="eastAsia" w:ascii="宋体" w:hAnsi="宋体" w:eastAsia="宋体" w:cs="宋体"/>
          <w:spacing w:val="-1"/>
          <w:sz w:val="28"/>
          <w:szCs w:val="28"/>
        </w:rPr>
        <w:t>：提交通过专家评审</w:t>
      </w:r>
      <w:r>
        <w:rPr>
          <w:rFonts w:hint="eastAsia" w:ascii="宋体" w:hAnsi="宋体" w:eastAsia="宋体" w:cs="宋体"/>
          <w:spacing w:val="-1"/>
          <w:sz w:val="28"/>
          <w:szCs w:val="28"/>
          <w:lang w:val="en-US" w:eastAsia="zh-CN"/>
        </w:rPr>
        <w:t>及自然资源主管部门备案</w:t>
      </w:r>
      <w:r>
        <w:rPr>
          <w:rFonts w:hint="eastAsia" w:ascii="宋体" w:hAnsi="宋体" w:eastAsia="宋体" w:cs="宋体"/>
          <w:spacing w:val="-1"/>
          <w:sz w:val="28"/>
          <w:szCs w:val="28"/>
        </w:rPr>
        <w:t>的《绿色矿山建设实施方案》（含附表、附图、附件），乙方向甲方开具全额100％的增值税专用发票（税率6%），甲方一次性结清，以</w:t>
      </w:r>
      <w:r>
        <w:rPr>
          <w:rFonts w:hint="eastAsia" w:ascii="宋体" w:hAnsi="宋体" w:eastAsia="宋体" w:cs="宋体"/>
          <w:spacing w:val="-1"/>
          <w:sz w:val="28"/>
          <w:szCs w:val="28"/>
          <w:lang w:val="en-US" w:eastAsia="zh-CN"/>
        </w:rPr>
        <w:t>电汇</w:t>
      </w:r>
      <w:r>
        <w:rPr>
          <w:rFonts w:hint="eastAsia" w:ascii="宋体" w:hAnsi="宋体" w:eastAsia="宋体" w:cs="宋体"/>
          <w:spacing w:val="-1"/>
          <w:sz w:val="28"/>
          <w:szCs w:val="28"/>
        </w:rPr>
        <w:t>支付。</w:t>
      </w:r>
    </w:p>
    <w:p w14:paraId="40B14BCA">
      <w:pPr>
        <w:keepNext w:val="0"/>
        <w:keepLines w:val="0"/>
        <w:pageBreakBefore w:val="0"/>
        <w:widowControl/>
        <w:kinsoku w:val="0"/>
        <w:wordWrap/>
        <w:overflowPunct/>
        <w:topLinePunct w:val="0"/>
        <w:autoSpaceDE w:val="0"/>
        <w:autoSpaceDN w:val="0"/>
        <w:bidi w:val="0"/>
        <w:adjustRightInd w:val="0"/>
        <w:snapToGrid w:val="0"/>
        <w:spacing w:line="360" w:lineRule="auto"/>
        <w:ind w:left="559"/>
        <w:textAlignment w:val="baseline"/>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六</w:t>
      </w:r>
      <w:r>
        <w:rPr>
          <w:rFonts w:ascii="宋体" w:hAnsi="宋体" w:eastAsia="宋体" w:cs="宋体"/>
          <w:b/>
          <w:bCs/>
          <w:spacing w:val="-3"/>
          <w:sz w:val="28"/>
          <w:szCs w:val="28"/>
        </w:rPr>
        <w:t>条、违约金或者损失赔偿额的计算方法和争议的解决办法</w:t>
      </w:r>
    </w:p>
    <w:p w14:paraId="5F40871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1"/>
        <w:jc w:val="both"/>
        <w:textAlignment w:val="baseline"/>
        <w:rPr>
          <w:rFonts w:ascii="宋体" w:hAnsi="宋体" w:eastAsia="宋体" w:cs="宋体"/>
          <w:spacing w:val="-3"/>
          <w:sz w:val="28"/>
          <w:szCs w:val="28"/>
        </w:rPr>
      </w:pPr>
      <w:r>
        <w:rPr>
          <w:rFonts w:hint="eastAsia" w:ascii="宋体" w:hAnsi="宋体" w:eastAsia="宋体" w:cs="宋体"/>
          <w:spacing w:val="-3"/>
          <w:sz w:val="28"/>
          <w:szCs w:val="28"/>
          <w:lang w:val="en-US" w:eastAsia="zh-CN"/>
        </w:rPr>
        <w:t>1、</w:t>
      </w:r>
      <w:r>
        <w:rPr>
          <w:rFonts w:hint="eastAsia" w:ascii="宋体" w:hAnsi="宋体" w:eastAsia="宋体" w:cs="宋体"/>
          <w:spacing w:val="-3"/>
          <w:sz w:val="28"/>
          <w:szCs w:val="28"/>
        </w:rPr>
        <w:t>本合同书一经双方签定，各方即应遵守执行，任何一方均不得单方面宣布解除合同。若一方因某种原因必须解除合同时，则应以书面形式通知对方，对方接到通知后的七日之内（包括节假日）做出答复，逾期不做答复的则视为默认。在此情况下提出解除合同的一方要向另一方支付违约金，违约金的数额一般为合同书中规定的编制费用总额的</w:t>
      </w:r>
      <w:r>
        <w:rPr>
          <w:rFonts w:hint="eastAsia" w:ascii="宋体" w:hAnsi="宋体" w:eastAsia="宋体" w:cs="宋体"/>
          <w:spacing w:val="-3"/>
          <w:sz w:val="28"/>
          <w:szCs w:val="28"/>
          <w:lang w:val="en-US" w:eastAsia="zh-CN"/>
        </w:rPr>
        <w:t>2</w:t>
      </w:r>
      <w:r>
        <w:rPr>
          <w:rFonts w:hint="eastAsia" w:ascii="宋体" w:hAnsi="宋体" w:eastAsia="宋体" w:cs="宋体"/>
          <w:spacing w:val="-3"/>
          <w:sz w:val="28"/>
          <w:szCs w:val="28"/>
        </w:rPr>
        <w:t>0%。若某一方不经过对方同意单方面宣布解除合同时，则要向另一方支付本合同中规定的编制费用总额的50%作为违约赔偿金。若因某种原因使双方均同意解除合同时，双方应签定终止合同书，互不追究责任。</w:t>
      </w:r>
    </w:p>
    <w:p w14:paraId="324E5F6B">
      <w:pPr>
        <w:keepNext w:val="0"/>
        <w:keepLines w:val="0"/>
        <w:pageBreakBefore w:val="0"/>
        <w:widowControl/>
        <w:kinsoku w:val="0"/>
        <w:wordWrap/>
        <w:overflowPunct/>
        <w:topLinePunct w:val="0"/>
        <w:autoSpaceDE w:val="0"/>
        <w:autoSpaceDN w:val="0"/>
        <w:bidi w:val="0"/>
        <w:adjustRightInd w:val="0"/>
        <w:snapToGrid w:val="0"/>
        <w:spacing w:line="360" w:lineRule="auto"/>
        <w:ind w:firstLine="555"/>
        <w:textAlignment w:val="baseline"/>
        <w:rPr>
          <w:rFonts w:ascii="宋体" w:hAnsi="宋体" w:eastAsia="宋体" w:cs="宋体"/>
          <w:sz w:val="28"/>
          <w:szCs w:val="28"/>
        </w:rPr>
      </w:pPr>
      <w:r>
        <w:rPr>
          <w:rFonts w:hint="eastAsia" w:ascii="宋体" w:hAnsi="宋体" w:eastAsia="宋体" w:cs="宋体"/>
          <w:spacing w:val="-3"/>
          <w:sz w:val="28"/>
          <w:szCs w:val="28"/>
          <w:lang w:val="en-US" w:eastAsia="zh-CN"/>
        </w:rPr>
        <w:t>2、</w:t>
      </w:r>
      <w:r>
        <w:rPr>
          <w:rFonts w:ascii="宋体" w:hAnsi="宋体" w:eastAsia="宋体" w:cs="宋体"/>
          <w:spacing w:val="-3"/>
          <w:sz w:val="28"/>
          <w:szCs w:val="28"/>
        </w:rPr>
        <w:t>若因</w:t>
      </w:r>
      <w:r>
        <w:rPr>
          <w:rFonts w:hint="eastAsia" w:ascii="宋体" w:hAnsi="宋体" w:eastAsia="宋体" w:cs="宋体"/>
          <w:spacing w:val="-3"/>
          <w:sz w:val="28"/>
          <w:szCs w:val="28"/>
          <w:lang w:val="en-US" w:eastAsia="zh-CN"/>
        </w:rPr>
        <w:t>方案</w:t>
      </w:r>
      <w:r>
        <w:rPr>
          <w:rFonts w:ascii="宋体" w:hAnsi="宋体" w:eastAsia="宋体" w:cs="宋体"/>
          <w:spacing w:val="-3"/>
          <w:sz w:val="28"/>
          <w:szCs w:val="28"/>
        </w:rPr>
        <w:t>质量原因，</w:t>
      </w:r>
      <w:r>
        <w:rPr>
          <w:rFonts w:hint="eastAsia" w:ascii="宋体" w:hAnsi="宋体" w:eastAsia="宋体" w:cs="宋体"/>
          <w:spacing w:val="-3"/>
          <w:sz w:val="28"/>
          <w:szCs w:val="28"/>
          <w:lang w:val="en-US" w:eastAsia="zh-CN"/>
        </w:rPr>
        <w:t>造成后续上级政府部门检查</w:t>
      </w:r>
      <w:r>
        <w:rPr>
          <w:rFonts w:ascii="宋体" w:hAnsi="宋体" w:eastAsia="宋体" w:cs="宋体"/>
          <w:spacing w:val="-3"/>
          <w:sz w:val="28"/>
          <w:szCs w:val="28"/>
        </w:rPr>
        <w:t>未通过</w:t>
      </w:r>
      <w:r>
        <w:rPr>
          <w:rFonts w:hint="eastAsia" w:ascii="宋体" w:hAnsi="宋体" w:eastAsia="宋体" w:cs="宋体"/>
          <w:spacing w:val="-3"/>
          <w:sz w:val="28"/>
          <w:szCs w:val="28"/>
          <w:lang w:val="en-US" w:eastAsia="zh-CN"/>
        </w:rPr>
        <w:t>或提出整改意见</w:t>
      </w:r>
      <w:r>
        <w:rPr>
          <w:rFonts w:ascii="宋体" w:hAnsi="宋体" w:eastAsia="宋体" w:cs="宋体"/>
          <w:spacing w:val="-3"/>
          <w:sz w:val="28"/>
          <w:szCs w:val="28"/>
        </w:rPr>
        <w:t>，乙方必须按照本合同要求工作内容和</w:t>
      </w:r>
      <w:r>
        <w:rPr>
          <w:rFonts w:hint="eastAsia" w:ascii="宋体" w:hAnsi="宋体" w:eastAsia="宋体" w:cs="宋体"/>
          <w:spacing w:val="-3"/>
          <w:sz w:val="28"/>
          <w:szCs w:val="28"/>
          <w:lang w:val="en-US" w:eastAsia="zh-CN"/>
        </w:rPr>
        <w:t>整改</w:t>
      </w:r>
      <w:r>
        <w:rPr>
          <w:rFonts w:ascii="宋体" w:hAnsi="宋体" w:eastAsia="宋体" w:cs="宋体"/>
          <w:spacing w:val="-3"/>
          <w:sz w:val="28"/>
          <w:szCs w:val="28"/>
        </w:rPr>
        <w:t>要求重新完成</w:t>
      </w:r>
      <w:r>
        <w:rPr>
          <w:rFonts w:hint="eastAsia" w:ascii="宋体" w:hAnsi="宋体" w:eastAsia="宋体" w:cs="宋体"/>
          <w:spacing w:val="-3"/>
          <w:sz w:val="28"/>
          <w:szCs w:val="28"/>
          <w:lang w:val="en-US" w:eastAsia="zh-CN"/>
        </w:rPr>
        <w:t>或修订完善</w:t>
      </w:r>
      <w:r>
        <w:rPr>
          <w:rFonts w:ascii="宋体" w:hAnsi="宋体" w:eastAsia="宋体" w:cs="宋体"/>
          <w:spacing w:val="-3"/>
          <w:sz w:val="28"/>
          <w:szCs w:val="28"/>
        </w:rPr>
        <w:t>，直至能够</w:t>
      </w:r>
      <w:r>
        <w:rPr>
          <w:rFonts w:hint="eastAsia" w:ascii="宋体" w:hAnsi="宋体" w:eastAsia="宋体" w:cs="宋体"/>
          <w:spacing w:val="-3"/>
          <w:sz w:val="28"/>
          <w:szCs w:val="28"/>
          <w:lang w:val="en-US" w:eastAsia="zh-CN"/>
        </w:rPr>
        <w:t>满足上级政府部门要求</w:t>
      </w:r>
      <w:r>
        <w:rPr>
          <w:rFonts w:ascii="宋体" w:hAnsi="宋体" w:eastAsia="宋体" w:cs="宋体"/>
          <w:spacing w:val="-1"/>
          <w:sz w:val="28"/>
          <w:szCs w:val="28"/>
        </w:rPr>
        <w:t>。</w:t>
      </w:r>
    </w:p>
    <w:p w14:paraId="0FC77439">
      <w:pPr>
        <w:keepNext w:val="0"/>
        <w:keepLines w:val="0"/>
        <w:pageBreakBefore w:val="0"/>
        <w:widowControl/>
        <w:kinsoku w:val="0"/>
        <w:wordWrap/>
        <w:overflowPunct/>
        <w:topLinePunct w:val="0"/>
        <w:autoSpaceDE w:val="0"/>
        <w:autoSpaceDN w:val="0"/>
        <w:bidi w:val="0"/>
        <w:adjustRightInd w:val="0"/>
        <w:snapToGrid w:val="0"/>
        <w:spacing w:line="360" w:lineRule="auto"/>
        <w:ind w:firstLine="555"/>
        <w:textAlignment w:val="baseline"/>
        <w:rPr>
          <w:rFonts w:ascii="宋体" w:hAnsi="宋体" w:eastAsia="宋体" w:cs="宋体"/>
          <w:sz w:val="28"/>
          <w:szCs w:val="28"/>
        </w:rPr>
      </w:pPr>
      <w:r>
        <w:rPr>
          <w:rFonts w:hint="eastAsia" w:ascii="宋体" w:hAnsi="宋体" w:eastAsia="宋体" w:cs="Arial Unicode MS"/>
          <w:color w:val="000000"/>
          <w:sz w:val="28"/>
          <w:lang w:val="en-US" w:eastAsia="zh-CN"/>
        </w:rPr>
        <w:t>3、</w:t>
      </w:r>
      <w:r>
        <w:rPr>
          <w:rFonts w:hint="eastAsia" w:ascii="宋体" w:hAnsi="宋体" w:cs="Arial Unicode MS"/>
          <w:color w:val="000000"/>
          <w:sz w:val="28"/>
        </w:rPr>
        <w:t>签约双方所发生的其他违约行为，按照《中华人民共和国民法典》的有关规定处理。</w:t>
      </w:r>
    </w:p>
    <w:p w14:paraId="4B3D9461">
      <w:pPr>
        <w:keepNext w:val="0"/>
        <w:keepLines w:val="0"/>
        <w:pageBreakBefore w:val="0"/>
        <w:widowControl/>
        <w:kinsoku w:val="0"/>
        <w:wordWrap/>
        <w:overflowPunct/>
        <w:topLinePunct w:val="0"/>
        <w:autoSpaceDE w:val="0"/>
        <w:autoSpaceDN w:val="0"/>
        <w:bidi w:val="0"/>
        <w:adjustRightInd w:val="0"/>
        <w:snapToGrid w:val="0"/>
        <w:spacing w:line="360" w:lineRule="auto"/>
        <w:ind w:firstLine="555"/>
        <w:textAlignment w:val="baseline"/>
        <w:rPr>
          <w:rFonts w:hint="eastAsia" w:ascii="宋体" w:hAnsi="宋体" w:eastAsia="宋体" w:cs="宋体"/>
          <w:b/>
          <w:bCs/>
          <w:spacing w:val="-4"/>
          <w:sz w:val="28"/>
          <w:szCs w:val="28"/>
          <w:lang w:val="en-US" w:eastAsia="zh-CN"/>
        </w:rPr>
      </w:pPr>
      <w:r>
        <w:rPr>
          <w:rFonts w:ascii="宋体" w:hAnsi="宋体" w:eastAsia="宋体" w:cs="宋体"/>
          <w:b/>
          <w:bCs/>
          <w:spacing w:val="-4"/>
          <w:sz w:val="28"/>
          <w:szCs w:val="28"/>
        </w:rPr>
        <w:t>第</w:t>
      </w:r>
      <w:r>
        <w:rPr>
          <w:rFonts w:hint="eastAsia" w:ascii="宋体" w:hAnsi="宋体" w:eastAsia="宋体" w:cs="宋体"/>
          <w:b/>
          <w:bCs/>
          <w:spacing w:val="-4"/>
          <w:sz w:val="28"/>
          <w:szCs w:val="28"/>
          <w:lang w:val="en-US" w:eastAsia="zh-CN"/>
        </w:rPr>
        <w:t>七条、其它</w:t>
      </w:r>
    </w:p>
    <w:p w14:paraId="1D5D05EE">
      <w:pPr>
        <w:keepNext w:val="0"/>
        <w:keepLines w:val="0"/>
        <w:pageBreakBefore w:val="0"/>
        <w:widowControl/>
        <w:kinsoku w:val="0"/>
        <w:wordWrap/>
        <w:overflowPunct/>
        <w:topLinePunct w:val="0"/>
        <w:autoSpaceDE w:val="0"/>
        <w:autoSpaceDN w:val="0"/>
        <w:bidi w:val="0"/>
        <w:adjustRightInd w:val="0"/>
        <w:snapToGrid w:val="0"/>
        <w:spacing w:line="360" w:lineRule="auto"/>
        <w:ind w:firstLine="555"/>
        <w:textAlignment w:val="baseline"/>
        <w:rPr>
          <w:rFonts w:hint="eastAsia" w:ascii="宋体" w:hAnsi="宋体" w:eastAsia="宋体" w:cs="宋体"/>
          <w:spacing w:val="-3"/>
          <w:sz w:val="28"/>
          <w:szCs w:val="28"/>
          <w:lang w:val="en-US" w:eastAsia="zh-CN"/>
        </w:rPr>
      </w:pPr>
      <w:r>
        <w:rPr>
          <w:rFonts w:ascii="宋体" w:hAnsi="宋体" w:eastAsia="宋体" w:cs="宋体"/>
          <w:spacing w:val="-1"/>
          <w:sz w:val="28"/>
          <w:szCs w:val="28"/>
        </w:rPr>
        <w:t>1、</w:t>
      </w:r>
      <w:r>
        <w:rPr>
          <w:rFonts w:hint="eastAsia" w:ascii="宋体" w:hAnsi="宋体" w:eastAsia="宋体" w:cs="宋体"/>
          <w:spacing w:val="-1"/>
          <w:sz w:val="28"/>
          <w:szCs w:val="28"/>
          <w:lang w:val="en-US" w:eastAsia="zh-CN"/>
        </w:rPr>
        <w:t>不可抗力：</w:t>
      </w:r>
      <w:r>
        <w:rPr>
          <w:rFonts w:hint="eastAsia" w:ascii="宋体" w:hAnsi="宋体" w:eastAsia="宋体" w:cs="宋体"/>
          <w:spacing w:val="-1"/>
          <w:sz w:val="28"/>
          <w:szCs w:val="28"/>
        </w:rPr>
        <w:t>甲、乙双方中任何一方，因不可抗力不能及时或完全履行合同的，应及时通知对方，并在</w:t>
      </w:r>
      <w:r>
        <w:rPr>
          <w:rFonts w:hint="eastAsia" w:ascii="宋体" w:hAnsi="宋体" w:eastAsia="宋体" w:cs="宋体"/>
          <w:spacing w:val="-1"/>
          <w:sz w:val="28"/>
          <w:szCs w:val="28"/>
          <w:lang w:val="en-US" w:eastAsia="zh-CN"/>
        </w:rPr>
        <w:t>10</w:t>
      </w:r>
      <w:r>
        <w:rPr>
          <w:rFonts w:hint="eastAsia" w:ascii="宋体" w:hAnsi="宋体" w:eastAsia="宋体" w:cs="宋体"/>
          <w:spacing w:val="-1"/>
          <w:sz w:val="28"/>
          <w:szCs w:val="28"/>
        </w:rPr>
        <w:t>天内提供相应证明。未履行合同部分是否继</w:t>
      </w:r>
      <w:r>
        <w:rPr>
          <w:rFonts w:hint="eastAsia" w:ascii="宋体" w:hAnsi="宋体" w:eastAsia="宋体" w:cs="宋体"/>
          <w:spacing w:val="-3"/>
          <w:sz w:val="28"/>
          <w:szCs w:val="28"/>
          <w:lang w:val="en-US" w:eastAsia="zh-CN"/>
        </w:rPr>
        <w:t>续履行、如何履行等问题，可由双方协商解决，但确定为不可抗力原因造成的损失，免于承担责任。</w:t>
      </w:r>
    </w:p>
    <w:p w14:paraId="06A34A49">
      <w:pPr>
        <w:keepNext w:val="0"/>
        <w:keepLines w:val="0"/>
        <w:pageBreakBefore w:val="0"/>
        <w:widowControl/>
        <w:kinsoku w:val="0"/>
        <w:wordWrap/>
        <w:overflowPunct/>
        <w:topLinePunct w:val="0"/>
        <w:autoSpaceDE w:val="0"/>
        <w:autoSpaceDN w:val="0"/>
        <w:bidi w:val="0"/>
        <w:adjustRightInd w:val="0"/>
        <w:snapToGrid w:val="0"/>
        <w:spacing w:line="360" w:lineRule="auto"/>
        <w:ind w:firstLine="555"/>
        <w:textAlignment w:val="baseline"/>
        <w:rPr>
          <w:rFonts w:hint="eastAsia" w:ascii="宋体" w:hAnsi="宋体" w:eastAsia="宋体" w:cs="宋体"/>
          <w:sz w:val="28"/>
          <w:szCs w:val="28"/>
        </w:rPr>
      </w:pPr>
      <w:r>
        <w:rPr>
          <w:rFonts w:hint="eastAsia" w:ascii="宋体" w:hAnsi="宋体" w:eastAsia="宋体" w:cs="宋体"/>
          <w:spacing w:val="-3"/>
          <w:sz w:val="28"/>
          <w:szCs w:val="28"/>
          <w:lang w:val="en-US" w:eastAsia="zh-CN"/>
        </w:rPr>
        <w:t>2、争议的解决方式：合同在履行过程中发生争议时，合同双方应本着公平、公正、合理的原则及时协商处理；协商不成通过诉讼程序解决，向合同</w:t>
      </w:r>
      <w:r>
        <w:rPr>
          <w:rFonts w:hint="eastAsia" w:ascii="宋体" w:hAnsi="宋体" w:eastAsia="宋体" w:cs="宋体"/>
          <w:sz w:val="28"/>
          <w:szCs w:val="28"/>
          <w:lang w:val="en-US" w:eastAsia="zh-CN"/>
        </w:rPr>
        <w:t>签订地即甲方所在地人民法院起诉。争议期间，不影响合同执行</w:t>
      </w:r>
      <w:r>
        <w:rPr>
          <w:rFonts w:hint="eastAsia" w:ascii="宋体" w:hAnsi="宋体" w:eastAsia="宋体" w:cs="宋体"/>
          <w:sz w:val="28"/>
          <w:szCs w:val="28"/>
        </w:rPr>
        <w:t>。</w:t>
      </w:r>
    </w:p>
    <w:p w14:paraId="70C8A2FF">
      <w:pPr>
        <w:keepNext w:val="0"/>
        <w:keepLines w:val="0"/>
        <w:pageBreakBefore w:val="0"/>
        <w:widowControl/>
        <w:kinsoku w:val="0"/>
        <w:wordWrap/>
        <w:overflowPunct/>
        <w:topLinePunct w:val="0"/>
        <w:autoSpaceDE w:val="0"/>
        <w:autoSpaceDN w:val="0"/>
        <w:bidi w:val="0"/>
        <w:adjustRightInd w:val="0"/>
        <w:snapToGrid w:val="0"/>
        <w:spacing w:line="360" w:lineRule="auto"/>
        <w:ind w:firstLine="555"/>
        <w:textAlignment w:val="baseline"/>
        <w:rPr>
          <w:rFonts w:ascii="宋体" w:hAnsi="宋体" w:eastAsia="宋体" w:cs="宋体"/>
          <w:spacing w:val="-1"/>
          <w:sz w:val="28"/>
          <w:szCs w:val="28"/>
        </w:rPr>
      </w:pPr>
      <w:r>
        <w:rPr>
          <w:rFonts w:hint="eastAsia" w:ascii="宋体" w:hAnsi="宋体" w:eastAsia="宋体" w:cs="Arial Unicode MS"/>
          <w:color w:val="000000"/>
          <w:sz w:val="28"/>
          <w:lang w:val="en-US" w:eastAsia="zh-CN"/>
        </w:rPr>
        <w:t>3、</w:t>
      </w:r>
      <w:r>
        <w:rPr>
          <w:rFonts w:hint="eastAsia" w:ascii="宋体" w:hAnsi="宋体" w:cs="Arial Unicode MS"/>
          <w:color w:val="000000"/>
          <w:sz w:val="28"/>
        </w:rPr>
        <w:t>合同的生效</w:t>
      </w:r>
      <w:r>
        <w:rPr>
          <w:rFonts w:hint="eastAsia" w:ascii="宋体" w:hAnsi="宋体" w:eastAsia="宋体" w:cs="Arial Unicode MS"/>
          <w:color w:val="000000"/>
          <w:sz w:val="28"/>
          <w:lang w:eastAsia="zh-CN"/>
        </w:rPr>
        <w:t>：</w:t>
      </w:r>
      <w:r>
        <w:rPr>
          <w:rFonts w:hint="eastAsia" w:ascii="宋体" w:hAnsi="宋体" w:cs="Arial Unicode MS"/>
          <w:color w:val="000000"/>
          <w:sz w:val="28"/>
        </w:rPr>
        <w:t>本合同经双方法定代表人或授权代表签字并加盖公章或合同专用章之日起生效，至双方权利义务履行完毕时终止。</w:t>
      </w:r>
    </w:p>
    <w:p w14:paraId="0B1E3142">
      <w:pPr>
        <w:keepNext w:val="0"/>
        <w:keepLines w:val="0"/>
        <w:pageBreakBefore w:val="0"/>
        <w:widowControl/>
        <w:kinsoku w:val="0"/>
        <w:wordWrap/>
        <w:overflowPunct/>
        <w:topLinePunct w:val="0"/>
        <w:autoSpaceDE w:val="0"/>
        <w:autoSpaceDN w:val="0"/>
        <w:bidi w:val="0"/>
        <w:adjustRightInd w:val="0"/>
        <w:snapToGrid w:val="0"/>
        <w:spacing w:line="360" w:lineRule="auto"/>
        <w:ind w:firstLine="555"/>
        <w:textAlignment w:val="baseline"/>
        <w:rPr>
          <w:rFonts w:hint="eastAsia" w:ascii="宋体" w:hAnsi="宋体" w:cs="Arial Unicode MS"/>
          <w:color w:val="000000"/>
          <w:sz w:val="28"/>
        </w:rPr>
      </w:pPr>
      <w:r>
        <w:rPr>
          <w:rFonts w:hint="eastAsia" w:ascii="宋体" w:hAnsi="宋体" w:eastAsia="宋体" w:cs="Arial Unicode MS"/>
          <w:color w:val="000000"/>
          <w:sz w:val="28"/>
          <w:lang w:val="en-US" w:eastAsia="zh-CN"/>
        </w:rPr>
        <w:t>4</w:t>
      </w:r>
      <w:r>
        <w:rPr>
          <w:rFonts w:hint="eastAsia" w:ascii="宋体" w:hAnsi="宋体" w:cs="Arial Unicode MS"/>
          <w:color w:val="000000"/>
          <w:sz w:val="28"/>
        </w:rPr>
        <w:t>、合同份数</w:t>
      </w:r>
      <w:r>
        <w:rPr>
          <w:rFonts w:hint="eastAsia" w:ascii="宋体" w:hAnsi="宋体" w:eastAsia="宋体" w:cs="Arial Unicode MS"/>
          <w:color w:val="000000"/>
          <w:sz w:val="28"/>
          <w:lang w:eastAsia="zh-CN"/>
        </w:rPr>
        <w:t>：</w:t>
      </w:r>
      <w:r>
        <w:rPr>
          <w:rFonts w:hint="eastAsia" w:ascii="宋体" w:hAnsi="宋体" w:cs="Arial Unicode MS"/>
          <w:color w:val="000000"/>
          <w:sz w:val="28"/>
        </w:rPr>
        <w:t>本合同一式陆份，甲方肆份、乙方贰份。</w:t>
      </w:r>
    </w:p>
    <w:p w14:paraId="0B65A1A5">
      <w:pPr>
        <w:keepNext w:val="0"/>
        <w:keepLines w:val="0"/>
        <w:pageBreakBefore w:val="0"/>
        <w:widowControl/>
        <w:kinsoku w:val="0"/>
        <w:wordWrap/>
        <w:overflowPunct/>
        <w:topLinePunct w:val="0"/>
        <w:autoSpaceDE w:val="0"/>
        <w:autoSpaceDN w:val="0"/>
        <w:bidi w:val="0"/>
        <w:adjustRightInd w:val="0"/>
        <w:snapToGrid w:val="0"/>
        <w:spacing w:line="360" w:lineRule="auto"/>
        <w:ind w:left="42"/>
        <w:textAlignment w:val="baseline"/>
        <w:rPr>
          <w:rFonts w:ascii="宋体" w:hAnsi="宋体" w:eastAsia="宋体" w:cs="宋体"/>
          <w:color w:val="333333"/>
          <w:spacing w:val="2"/>
          <w:sz w:val="28"/>
          <w:szCs w:val="28"/>
        </w:rPr>
      </w:pPr>
    </w:p>
    <w:p w14:paraId="1E4A89AE">
      <w:pPr>
        <w:keepNext w:val="0"/>
        <w:keepLines w:val="0"/>
        <w:pageBreakBefore w:val="0"/>
        <w:widowControl/>
        <w:kinsoku w:val="0"/>
        <w:wordWrap/>
        <w:overflowPunct/>
        <w:topLinePunct w:val="0"/>
        <w:autoSpaceDE w:val="0"/>
        <w:autoSpaceDN w:val="0"/>
        <w:bidi w:val="0"/>
        <w:adjustRightInd w:val="0"/>
        <w:snapToGrid w:val="0"/>
        <w:spacing w:line="360" w:lineRule="auto"/>
        <w:ind w:left="42"/>
        <w:textAlignment w:val="baseline"/>
        <w:rPr>
          <w:rFonts w:ascii="宋体" w:hAnsi="宋体" w:eastAsia="宋体" w:cs="宋体"/>
          <w:sz w:val="28"/>
          <w:szCs w:val="28"/>
        </w:rPr>
      </w:pPr>
      <w:r>
        <w:rPr>
          <w:rFonts w:ascii="宋体" w:hAnsi="宋体" w:eastAsia="宋体" w:cs="宋体"/>
          <w:color w:val="333333"/>
          <w:spacing w:val="2"/>
          <w:sz w:val="28"/>
          <w:szCs w:val="28"/>
        </w:rPr>
        <w:t>甲方：山东济钢环保新材料</w:t>
      </w:r>
      <w:r>
        <w:rPr>
          <w:rFonts w:ascii="宋体" w:hAnsi="宋体" w:eastAsia="宋体" w:cs="宋体"/>
          <w:color w:val="333333"/>
          <w:spacing w:val="31"/>
          <w:sz w:val="28"/>
          <w:szCs w:val="28"/>
        </w:rPr>
        <w:t xml:space="preserve">  </w:t>
      </w:r>
      <w:r>
        <w:rPr>
          <w:rFonts w:ascii="宋体" w:hAnsi="宋体" w:eastAsia="宋体" w:cs="宋体"/>
          <w:color w:val="333333"/>
          <w:spacing w:val="2"/>
          <w:sz w:val="28"/>
          <w:szCs w:val="28"/>
        </w:rPr>
        <w:t>乙方：</w:t>
      </w:r>
    </w:p>
    <w:p w14:paraId="5D9E406D">
      <w:pPr>
        <w:keepNext w:val="0"/>
        <w:keepLines w:val="0"/>
        <w:pageBreakBefore w:val="0"/>
        <w:widowControl/>
        <w:kinsoku w:val="0"/>
        <w:wordWrap/>
        <w:overflowPunct/>
        <w:topLinePunct w:val="0"/>
        <w:autoSpaceDE w:val="0"/>
        <w:autoSpaceDN w:val="0"/>
        <w:bidi w:val="0"/>
        <w:adjustRightInd w:val="0"/>
        <w:snapToGrid w:val="0"/>
        <w:spacing w:line="360" w:lineRule="auto"/>
        <w:ind w:left="1097"/>
        <w:textAlignment w:val="baseline"/>
        <w:rPr>
          <w:rFonts w:ascii="宋体" w:hAnsi="宋体" w:eastAsia="宋体" w:cs="宋体"/>
          <w:sz w:val="28"/>
          <w:szCs w:val="28"/>
        </w:rPr>
      </w:pPr>
      <w:r>
        <w:rPr>
          <w:rFonts w:ascii="宋体" w:hAnsi="宋体" w:eastAsia="宋体" w:cs="宋体"/>
          <w:color w:val="333333"/>
          <w:spacing w:val="6"/>
          <w:sz w:val="28"/>
          <w:szCs w:val="28"/>
        </w:rPr>
        <w:t>有限公司（盖章）</w:t>
      </w:r>
    </w:p>
    <w:p w14:paraId="538397B2">
      <w:pPr>
        <w:keepNext w:val="0"/>
        <w:keepLines w:val="0"/>
        <w:pageBreakBefore w:val="0"/>
        <w:widowControl/>
        <w:kinsoku w:val="0"/>
        <w:wordWrap/>
        <w:overflowPunct/>
        <w:topLinePunct w:val="0"/>
        <w:autoSpaceDE w:val="0"/>
        <w:autoSpaceDN w:val="0"/>
        <w:bidi w:val="0"/>
        <w:adjustRightInd w:val="0"/>
        <w:snapToGrid w:val="0"/>
        <w:spacing w:line="360" w:lineRule="auto"/>
        <w:ind w:left="962"/>
        <w:textAlignment w:val="baseline"/>
        <w:rPr>
          <w:rFonts w:ascii="宋体" w:hAnsi="宋体" w:eastAsia="宋体" w:cs="宋体"/>
          <w:sz w:val="28"/>
          <w:szCs w:val="28"/>
        </w:rPr>
      </w:pPr>
      <w:r>
        <w:rPr>
          <w:rFonts w:ascii="宋体" w:hAnsi="宋体" w:eastAsia="宋体" w:cs="宋体"/>
          <w:color w:val="333333"/>
          <w:spacing w:val="5"/>
          <w:sz w:val="28"/>
          <w:szCs w:val="28"/>
        </w:rPr>
        <w:t>法定代表人：</w:t>
      </w:r>
      <w:r>
        <w:rPr>
          <w:rFonts w:ascii="宋体" w:hAnsi="宋体" w:eastAsia="宋体" w:cs="宋体"/>
          <w:color w:val="333333"/>
          <w:spacing w:val="7"/>
          <w:sz w:val="28"/>
          <w:szCs w:val="28"/>
        </w:rPr>
        <w:t xml:space="preserve">              </w:t>
      </w:r>
      <w:r>
        <w:rPr>
          <w:rFonts w:ascii="宋体" w:hAnsi="宋体" w:eastAsia="宋体" w:cs="宋体"/>
          <w:color w:val="333333"/>
          <w:spacing w:val="5"/>
          <w:sz w:val="28"/>
          <w:szCs w:val="28"/>
        </w:rPr>
        <w:t>法定代表人：</w:t>
      </w:r>
    </w:p>
    <w:p w14:paraId="666C8C38">
      <w:pPr>
        <w:keepNext w:val="0"/>
        <w:keepLines w:val="0"/>
        <w:pageBreakBefore w:val="0"/>
        <w:widowControl/>
        <w:kinsoku w:val="0"/>
        <w:wordWrap/>
        <w:overflowPunct/>
        <w:topLinePunct w:val="0"/>
        <w:autoSpaceDE w:val="0"/>
        <w:autoSpaceDN w:val="0"/>
        <w:bidi w:val="0"/>
        <w:adjustRightInd w:val="0"/>
        <w:snapToGrid w:val="0"/>
        <w:spacing w:line="360" w:lineRule="auto"/>
        <w:ind w:left="974"/>
        <w:textAlignment w:val="baseline"/>
        <w:rPr>
          <w:rFonts w:ascii="宋体" w:hAnsi="宋体" w:eastAsia="宋体" w:cs="宋体"/>
          <w:sz w:val="28"/>
          <w:szCs w:val="28"/>
        </w:rPr>
      </w:pPr>
      <w:r>
        <w:rPr>
          <w:rFonts w:ascii="宋体" w:hAnsi="宋体" w:eastAsia="宋体" w:cs="宋体"/>
          <w:color w:val="333333"/>
          <w:spacing w:val="12"/>
          <w:sz w:val="28"/>
          <w:szCs w:val="28"/>
        </w:rPr>
        <w:t>（委托代理</w:t>
      </w:r>
      <w:r>
        <w:rPr>
          <w:rFonts w:ascii="宋体" w:hAnsi="宋体" w:eastAsia="宋体" w:cs="宋体"/>
          <w:color w:val="333333"/>
          <w:spacing w:val="-6"/>
          <w:sz w:val="28"/>
          <w:szCs w:val="28"/>
        </w:rPr>
        <w:t>）：</w:t>
      </w:r>
      <w:r>
        <w:rPr>
          <w:rFonts w:ascii="宋体" w:hAnsi="宋体" w:eastAsia="宋体" w:cs="宋体"/>
          <w:color w:val="333333"/>
          <w:spacing w:val="6"/>
          <w:sz w:val="28"/>
          <w:szCs w:val="28"/>
        </w:rPr>
        <w:t xml:space="preserve">             </w:t>
      </w:r>
      <w:r>
        <w:rPr>
          <w:rFonts w:ascii="宋体" w:hAnsi="宋体" w:eastAsia="宋体" w:cs="宋体"/>
          <w:color w:val="333333"/>
          <w:spacing w:val="-6"/>
          <w:sz w:val="28"/>
          <w:szCs w:val="28"/>
        </w:rPr>
        <w:t>（</w:t>
      </w:r>
      <w:r>
        <w:rPr>
          <w:rFonts w:ascii="宋体" w:hAnsi="宋体" w:eastAsia="宋体" w:cs="宋体"/>
          <w:color w:val="333333"/>
          <w:spacing w:val="12"/>
          <w:sz w:val="28"/>
          <w:szCs w:val="28"/>
        </w:rPr>
        <w:t>委托代理</w:t>
      </w:r>
      <w:r>
        <w:rPr>
          <w:rFonts w:ascii="宋体" w:hAnsi="宋体" w:eastAsia="宋体" w:cs="宋体"/>
          <w:color w:val="333333"/>
          <w:spacing w:val="-6"/>
          <w:sz w:val="28"/>
          <w:szCs w:val="28"/>
        </w:rPr>
        <w:t>）：</w:t>
      </w:r>
    </w:p>
    <w:p w14:paraId="3084BCB0">
      <w:pPr>
        <w:keepNext w:val="0"/>
        <w:keepLines w:val="0"/>
        <w:pageBreakBefore w:val="0"/>
        <w:widowControl/>
        <w:kinsoku w:val="0"/>
        <w:wordWrap/>
        <w:overflowPunct/>
        <w:topLinePunct w:val="0"/>
        <w:autoSpaceDE w:val="0"/>
        <w:autoSpaceDN w:val="0"/>
        <w:bidi w:val="0"/>
        <w:adjustRightInd w:val="0"/>
        <w:snapToGrid w:val="0"/>
        <w:spacing w:line="360" w:lineRule="auto"/>
        <w:ind w:left="5566"/>
        <w:textAlignment w:val="baseline"/>
        <w:outlineLvl w:val="0"/>
        <w:rPr>
          <w:rFonts w:ascii="宋体" w:hAnsi="宋体" w:eastAsia="宋体" w:cs="宋体"/>
          <w:sz w:val="28"/>
          <w:szCs w:val="28"/>
        </w:rPr>
      </w:pPr>
      <w:r>
        <w:rPr>
          <w:rFonts w:ascii="宋体" w:hAnsi="宋体" w:eastAsia="宋体" w:cs="宋体"/>
          <w:color w:val="333333"/>
          <w:spacing w:val="-2"/>
          <w:sz w:val="28"/>
          <w:szCs w:val="28"/>
        </w:rPr>
        <w:t>202</w:t>
      </w:r>
      <w:r>
        <w:rPr>
          <w:rFonts w:hint="eastAsia" w:ascii="宋体" w:hAnsi="宋体" w:eastAsia="宋体" w:cs="宋体"/>
          <w:color w:val="333333"/>
          <w:spacing w:val="-2"/>
          <w:sz w:val="28"/>
          <w:szCs w:val="28"/>
          <w:lang w:val="en-US" w:eastAsia="zh-CN"/>
        </w:rPr>
        <w:t>5</w:t>
      </w:r>
      <w:r>
        <w:rPr>
          <w:rFonts w:ascii="宋体" w:hAnsi="宋体" w:eastAsia="宋体" w:cs="宋体"/>
          <w:color w:val="333333"/>
          <w:spacing w:val="-61"/>
          <w:sz w:val="28"/>
          <w:szCs w:val="28"/>
        </w:rPr>
        <w:t xml:space="preserve"> </w:t>
      </w:r>
      <w:r>
        <w:rPr>
          <w:rFonts w:ascii="宋体" w:hAnsi="宋体" w:eastAsia="宋体" w:cs="宋体"/>
          <w:color w:val="333333"/>
          <w:spacing w:val="-2"/>
          <w:sz w:val="28"/>
          <w:szCs w:val="28"/>
        </w:rPr>
        <w:t>年</w:t>
      </w:r>
      <w:r>
        <w:rPr>
          <w:rFonts w:ascii="宋体" w:hAnsi="宋体" w:eastAsia="宋体" w:cs="宋体"/>
          <w:color w:val="333333"/>
          <w:spacing w:val="11"/>
          <w:sz w:val="28"/>
          <w:szCs w:val="28"/>
        </w:rPr>
        <w:t xml:space="preserve">   </w:t>
      </w:r>
      <w:r>
        <w:rPr>
          <w:rFonts w:ascii="宋体" w:hAnsi="宋体" w:eastAsia="宋体" w:cs="宋体"/>
          <w:color w:val="333333"/>
          <w:spacing w:val="-2"/>
          <w:sz w:val="28"/>
          <w:szCs w:val="28"/>
        </w:rPr>
        <w:t>月</w:t>
      </w:r>
      <w:r>
        <w:rPr>
          <w:rFonts w:ascii="宋体" w:hAnsi="宋体" w:eastAsia="宋体" w:cs="宋体"/>
          <w:color w:val="333333"/>
          <w:spacing w:val="28"/>
          <w:sz w:val="28"/>
          <w:szCs w:val="28"/>
        </w:rPr>
        <w:t xml:space="preserve">   </w:t>
      </w:r>
      <w:r>
        <w:rPr>
          <w:rFonts w:ascii="宋体" w:hAnsi="宋体" w:eastAsia="宋体" w:cs="宋体"/>
          <w:color w:val="333333"/>
          <w:spacing w:val="-2"/>
          <w:sz w:val="28"/>
          <w:szCs w:val="28"/>
        </w:rPr>
        <w:t>日</w:t>
      </w:r>
    </w:p>
    <w:p w14:paraId="0761C261">
      <w:pPr>
        <w:spacing w:line="225" w:lineRule="auto"/>
        <w:rPr>
          <w:rFonts w:ascii="宋体" w:hAnsi="宋体" w:eastAsia="宋体" w:cs="宋体"/>
          <w:sz w:val="28"/>
          <w:szCs w:val="28"/>
        </w:rPr>
        <w:sectPr>
          <w:footerReference r:id="rId13" w:type="default"/>
          <w:pgSz w:w="11906" w:h="16839"/>
          <w:pgMar w:top="1431" w:right="1643" w:bottom="1156" w:left="1654" w:header="0" w:footer="994" w:gutter="0"/>
          <w:cols w:space="720" w:num="1"/>
        </w:sectPr>
      </w:pPr>
    </w:p>
    <w:p w14:paraId="2A40295C">
      <w:pPr>
        <w:keepNext w:val="0"/>
        <w:keepLines w:val="0"/>
        <w:pageBreakBefore w:val="0"/>
        <w:widowControl/>
        <w:kinsoku w:val="0"/>
        <w:wordWrap/>
        <w:overflowPunct/>
        <w:topLinePunct w:val="0"/>
        <w:autoSpaceDE w:val="0"/>
        <w:autoSpaceDN w:val="0"/>
        <w:bidi w:val="0"/>
        <w:adjustRightInd w:val="0"/>
        <w:snapToGrid w:val="0"/>
        <w:spacing w:after="0" w:afterLines="100" w:line="226" w:lineRule="auto"/>
        <w:ind w:left="2551"/>
        <w:textAlignment w:val="baseline"/>
        <w:rPr>
          <w:rFonts w:ascii="黑体" w:hAnsi="黑体" w:eastAsia="黑体" w:cs="黑体"/>
          <w:sz w:val="43"/>
          <w:szCs w:val="43"/>
        </w:rPr>
      </w:pPr>
      <w:r>
        <w:rPr>
          <w:rFonts w:ascii="黑体" w:hAnsi="黑体" w:eastAsia="黑体" w:cs="黑体"/>
          <w:b/>
          <w:bCs/>
          <w:spacing w:val="4"/>
          <w:sz w:val="43"/>
          <w:szCs w:val="43"/>
        </w:rPr>
        <w:t>第五章</w:t>
      </w:r>
      <w:r>
        <w:rPr>
          <w:rFonts w:ascii="黑体" w:hAnsi="黑体" w:eastAsia="黑体" w:cs="黑体"/>
          <w:spacing w:val="4"/>
          <w:sz w:val="43"/>
          <w:szCs w:val="43"/>
        </w:rPr>
        <w:t xml:space="preserve">  </w:t>
      </w:r>
      <w:r>
        <w:rPr>
          <w:rFonts w:ascii="黑体" w:hAnsi="黑体" w:eastAsia="黑体" w:cs="黑体"/>
          <w:b/>
          <w:bCs/>
          <w:spacing w:val="4"/>
          <w:sz w:val="43"/>
          <w:szCs w:val="43"/>
        </w:rPr>
        <w:t>技术部分</w:t>
      </w:r>
    </w:p>
    <w:p w14:paraId="2E33F98A">
      <w:pPr>
        <w:ind w:firstLine="570"/>
        <w:rPr>
          <w:rFonts w:hint="eastAsia" w:ascii="宋体" w:hAnsi="宋体"/>
          <w:b/>
          <w:sz w:val="28"/>
          <w:szCs w:val="28"/>
        </w:rPr>
      </w:pPr>
      <w:bookmarkStart w:id="183" w:name="_Toc467585328"/>
      <w:r>
        <w:rPr>
          <w:rFonts w:hint="eastAsia" w:ascii="宋体" w:hAnsi="宋体"/>
          <w:b/>
          <w:sz w:val="28"/>
          <w:szCs w:val="28"/>
        </w:rPr>
        <w:t>一、项目综合说明</w:t>
      </w:r>
      <w:bookmarkEnd w:id="183"/>
    </w:p>
    <w:p w14:paraId="485ED2B9">
      <w:pPr>
        <w:ind w:firstLine="548" w:firstLineChars="196"/>
        <w:rPr>
          <w:rFonts w:ascii="宋体" w:hAnsi="宋体"/>
          <w:sz w:val="28"/>
          <w:szCs w:val="28"/>
        </w:rPr>
      </w:pPr>
      <w:r>
        <w:rPr>
          <w:rFonts w:hint="eastAsia" w:ascii="宋体" w:hAnsi="宋体"/>
          <w:sz w:val="28"/>
          <w:szCs w:val="28"/>
        </w:rPr>
        <w:t>1. 项目简介</w:t>
      </w:r>
      <w:r>
        <w:rPr>
          <w:rFonts w:ascii="宋体" w:hAnsi="宋体"/>
          <w:sz w:val="28"/>
          <w:szCs w:val="28"/>
        </w:rPr>
        <w:t>：</w:t>
      </w:r>
      <w:r>
        <w:rPr>
          <w:rFonts w:hint="eastAsia" w:ascii="宋体" w:hAnsi="宋体"/>
          <w:sz w:val="28"/>
          <w:szCs w:val="28"/>
        </w:rPr>
        <w:t>山东济钢环保新材料有限公司济南市章丘区官庄弓角湾南建筑石料用灰岩东矿区绿色矿山建设实施方案编制。</w:t>
      </w:r>
    </w:p>
    <w:p w14:paraId="1D6BF07E">
      <w:pPr>
        <w:spacing w:line="560" w:lineRule="exact"/>
        <w:ind w:firstLine="560" w:firstLineChars="200"/>
        <w:rPr>
          <w:rFonts w:hint="eastAsia" w:ascii="宋体" w:hAnsi="宋体"/>
          <w:sz w:val="28"/>
          <w:szCs w:val="28"/>
          <w:highlight w:val="none"/>
        </w:rPr>
      </w:pPr>
      <w:r>
        <w:rPr>
          <w:rFonts w:hint="eastAsia" w:ascii="宋体" w:hAnsi="宋体"/>
          <w:sz w:val="28"/>
          <w:szCs w:val="28"/>
        </w:rPr>
        <w:t>2. 招标范围：依据国家、省绿色矿山建设标准规范，对照绿色矿山建设评价指标和建设时限要求，结合矿山已有的开发利用方案、初步设计等相关资料，编制《山东济钢环保新材料有限公司济南市章丘区官庄弓角湾南建筑石料用灰岩东矿区绿色矿山建设实施方案》并通过专家评审和自然资源主管部门备案。</w:t>
      </w:r>
    </w:p>
    <w:p w14:paraId="5C356826">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 xml:space="preserve">3. </w:t>
      </w:r>
      <w:r>
        <w:rPr>
          <w:rFonts w:ascii="宋体" w:hAnsi="宋体"/>
          <w:sz w:val="28"/>
          <w:szCs w:val="28"/>
          <w:highlight w:val="none"/>
        </w:rPr>
        <w:t>服务周期</w:t>
      </w:r>
      <w:r>
        <w:rPr>
          <w:rFonts w:hint="eastAsia" w:ascii="宋体" w:hAnsi="宋体"/>
          <w:sz w:val="28"/>
          <w:szCs w:val="28"/>
          <w:highlight w:val="none"/>
        </w:rPr>
        <w:t>：自签订合同之日起，</w:t>
      </w:r>
      <w:r>
        <w:rPr>
          <w:rFonts w:hint="eastAsia" w:ascii="宋体" w:hAnsi="宋体" w:eastAsia="宋体"/>
          <w:sz w:val="28"/>
          <w:szCs w:val="28"/>
          <w:highlight w:val="none"/>
          <w:u w:val="single"/>
          <w:lang w:val="en-US" w:eastAsia="zh-CN"/>
        </w:rPr>
        <w:t xml:space="preserve"> 90 </w:t>
      </w:r>
      <w:r>
        <w:rPr>
          <w:rFonts w:hint="eastAsia" w:ascii="宋体" w:hAnsi="宋体" w:eastAsia="宋体"/>
          <w:sz w:val="28"/>
          <w:szCs w:val="28"/>
          <w:highlight w:val="none"/>
          <w:u w:val="none"/>
          <w:lang w:val="en-US" w:eastAsia="zh-CN"/>
        </w:rPr>
        <w:t>日历天</w:t>
      </w:r>
      <w:r>
        <w:rPr>
          <w:rFonts w:hint="eastAsia" w:ascii="宋体" w:hAnsi="宋体"/>
          <w:sz w:val="28"/>
          <w:szCs w:val="28"/>
          <w:highlight w:val="none"/>
        </w:rPr>
        <w:t>内完成方案编制并通过专家评审，在</w:t>
      </w:r>
      <w:r>
        <w:rPr>
          <w:rFonts w:hint="eastAsia" w:ascii="宋体" w:hAnsi="宋体" w:eastAsia="宋体"/>
          <w:sz w:val="28"/>
          <w:szCs w:val="28"/>
          <w:highlight w:val="none"/>
          <w:lang w:val="en-US" w:eastAsia="zh-CN"/>
        </w:rPr>
        <w:t>自然资源主管部门</w:t>
      </w:r>
      <w:r>
        <w:rPr>
          <w:rFonts w:hint="eastAsia" w:ascii="宋体" w:hAnsi="宋体"/>
          <w:sz w:val="28"/>
          <w:szCs w:val="28"/>
          <w:highlight w:val="none"/>
        </w:rPr>
        <w:t>完成备案。</w:t>
      </w:r>
    </w:p>
    <w:p w14:paraId="0635073F">
      <w:pPr>
        <w:spacing w:line="560" w:lineRule="exact"/>
        <w:ind w:firstLine="560" w:firstLineChars="200"/>
        <w:rPr>
          <w:rFonts w:hint="eastAsia" w:ascii="宋体" w:hAnsi="宋体"/>
          <w:sz w:val="28"/>
          <w:szCs w:val="28"/>
        </w:rPr>
      </w:pPr>
      <w:r>
        <w:rPr>
          <w:rFonts w:hint="eastAsia" w:ascii="宋体" w:hAnsi="宋体"/>
          <w:sz w:val="28"/>
          <w:szCs w:val="28"/>
        </w:rPr>
        <w:t>4. 实施地点：山东省济南市章丘区官庄街道</w:t>
      </w:r>
    </w:p>
    <w:p w14:paraId="06B6A799">
      <w:pPr>
        <w:ind w:firstLine="570"/>
        <w:rPr>
          <w:rFonts w:hint="eastAsia" w:ascii="宋体" w:hAnsi="宋体"/>
          <w:b/>
          <w:sz w:val="28"/>
          <w:szCs w:val="28"/>
        </w:rPr>
      </w:pPr>
      <w:bookmarkStart w:id="184" w:name="_Toc467585329"/>
      <w:r>
        <w:rPr>
          <w:rFonts w:hint="eastAsia" w:ascii="宋体" w:hAnsi="宋体"/>
          <w:b/>
          <w:sz w:val="28"/>
          <w:szCs w:val="28"/>
        </w:rPr>
        <w:t>二、技术要求</w:t>
      </w:r>
      <w:bookmarkEnd w:id="184"/>
    </w:p>
    <w:p w14:paraId="0CFE29D8">
      <w:pPr>
        <w:spacing w:line="56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color w:val="000000"/>
          <w:sz w:val="28"/>
          <w:szCs w:val="28"/>
        </w:rPr>
        <w:t xml:space="preserve"> 山东济钢环保新材料有限公司济南市章丘区官庄弓角湾南建筑石料用灰岩东矿区绿色矿山建设实施方案编制</w:t>
      </w:r>
      <w:r>
        <w:rPr>
          <w:rFonts w:hint="eastAsia" w:ascii="宋体" w:hAnsi="宋体"/>
          <w:sz w:val="28"/>
          <w:szCs w:val="28"/>
        </w:rPr>
        <w:t>内容、范围和深度应符合国家、地方相关法律、法规及政策规定，符合本项目实际情况。</w:t>
      </w:r>
    </w:p>
    <w:p w14:paraId="230857D5">
      <w:pPr>
        <w:spacing w:line="56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中标单位需在合同签订后收到甲方的有关材料之日起，根据甲方提供的有关资料和本合同的技术要求进行山东济钢环保新材料有限公司济南市章丘区官庄弓角湾南建筑石料用灰岩东矿区绿色矿山建设实施方案编制，在要求时间完成。</w:t>
      </w:r>
    </w:p>
    <w:p w14:paraId="5E7D040A">
      <w:pPr>
        <w:ind w:firstLine="570"/>
        <w:rPr>
          <w:rFonts w:hint="eastAsia" w:ascii="宋体" w:hAnsi="宋体"/>
          <w:b/>
          <w:sz w:val="28"/>
          <w:szCs w:val="28"/>
        </w:rPr>
      </w:pPr>
      <w:r>
        <w:rPr>
          <w:rFonts w:hint="eastAsia" w:ascii="宋体" w:hAnsi="宋体"/>
          <w:b/>
          <w:sz w:val="28"/>
          <w:szCs w:val="28"/>
        </w:rPr>
        <w:t>三、法律法规</w:t>
      </w:r>
    </w:p>
    <w:p w14:paraId="472F2E33">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符合有关法律法规标准要求</w:t>
      </w:r>
    </w:p>
    <w:p w14:paraId="3ECFCE4E">
      <w:pPr>
        <w:ind w:firstLine="570"/>
        <w:rPr>
          <w:rFonts w:hint="eastAsia" w:ascii="宋体" w:hAnsi="宋体"/>
          <w:b/>
          <w:sz w:val="28"/>
          <w:szCs w:val="28"/>
        </w:rPr>
      </w:pPr>
      <w:r>
        <w:rPr>
          <w:rFonts w:hint="eastAsia" w:ascii="宋体" w:hAnsi="宋体"/>
          <w:b/>
          <w:sz w:val="28"/>
          <w:szCs w:val="28"/>
        </w:rPr>
        <w:t>四、标准规范</w:t>
      </w:r>
    </w:p>
    <w:p w14:paraId="3415BEE8">
      <w:pPr>
        <w:autoSpaceDE w:val="0"/>
        <w:autoSpaceDN w:val="0"/>
        <w:adjustRightInd w:val="0"/>
        <w:spacing w:line="500" w:lineRule="exact"/>
        <w:ind w:firstLine="570"/>
        <w:rPr>
          <w:rFonts w:hint="eastAsia" w:ascii="宋体" w:hAnsi="宋体"/>
          <w:sz w:val="28"/>
          <w:szCs w:val="28"/>
        </w:rPr>
      </w:pPr>
      <w:r>
        <w:rPr>
          <w:rFonts w:hint="eastAsia" w:ascii="宋体" w:hAnsi="宋体"/>
          <w:sz w:val="28"/>
        </w:rPr>
        <w:t>符合标准规范。</w:t>
      </w:r>
    </w:p>
    <w:p w14:paraId="095BF210">
      <w:pPr>
        <w:ind w:firstLine="570"/>
        <w:rPr>
          <w:rFonts w:hint="eastAsia" w:ascii="宋体" w:hAnsi="宋体"/>
          <w:b/>
          <w:sz w:val="28"/>
          <w:szCs w:val="28"/>
        </w:rPr>
      </w:pPr>
      <w:r>
        <w:rPr>
          <w:rFonts w:hint="eastAsia" w:ascii="宋体" w:hAnsi="宋体"/>
          <w:b/>
          <w:sz w:val="28"/>
          <w:szCs w:val="28"/>
        </w:rPr>
        <w:t>五、交付成果：</w:t>
      </w:r>
    </w:p>
    <w:p w14:paraId="64FEE390">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1、编制《山东济钢环保新材料有限公司济南市章丘区官庄弓角湾南建筑石料用灰岩东矿区绿色矿山建设实施方案》。</w:t>
      </w:r>
    </w:p>
    <w:p w14:paraId="2AD16409">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2、通过专家评审，完成</w:t>
      </w:r>
      <w:r>
        <w:rPr>
          <w:rFonts w:hint="eastAsia" w:ascii="宋体" w:hAnsi="宋体" w:eastAsia="宋体"/>
          <w:sz w:val="28"/>
          <w:szCs w:val="28"/>
          <w:lang w:val="en-US" w:eastAsia="zh-CN"/>
        </w:rPr>
        <w:t>自然资源主管</w:t>
      </w:r>
      <w:r>
        <w:rPr>
          <w:rFonts w:hint="eastAsia" w:ascii="宋体" w:hAnsi="宋体"/>
          <w:sz w:val="28"/>
        </w:rPr>
        <w:t>部门备案；</w:t>
      </w:r>
    </w:p>
    <w:p w14:paraId="6087087D">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3、按照规定应该交付的其它资料。</w:t>
      </w:r>
    </w:p>
    <w:p w14:paraId="620BB46C">
      <w:pPr>
        <w:ind w:firstLine="570"/>
        <w:rPr>
          <w:rFonts w:ascii="宋体" w:hAnsi="宋体"/>
          <w:b/>
          <w:sz w:val="28"/>
          <w:szCs w:val="28"/>
        </w:rPr>
      </w:pPr>
      <w:r>
        <w:rPr>
          <w:rFonts w:hint="eastAsia" w:ascii="宋体" w:hAnsi="宋体"/>
          <w:b/>
          <w:sz w:val="28"/>
          <w:szCs w:val="28"/>
        </w:rPr>
        <w:t>六、其他应包含的内容：</w:t>
      </w:r>
    </w:p>
    <w:p w14:paraId="6587F889">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1、工作计划方案的内容和研究方法的完整性和合理性；</w:t>
      </w:r>
    </w:p>
    <w:p w14:paraId="49DB8E42">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2、成果报告编制质量的保证措施；</w:t>
      </w:r>
    </w:p>
    <w:p w14:paraId="1CE5B8DA">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3、项目时间和进度管理方案的科学性；</w:t>
      </w:r>
    </w:p>
    <w:p w14:paraId="0FCF5D6B">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4、如何解决项目过程遇到的重难点及技术问题；</w:t>
      </w:r>
    </w:p>
    <w:p w14:paraId="7648255A">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5、保证成果报告通过评审和备案的相关措施；</w:t>
      </w:r>
    </w:p>
    <w:p w14:paraId="21BBC0C5">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6、配合招标人工作的相关措施；</w:t>
      </w:r>
    </w:p>
    <w:p w14:paraId="3FE0CEA3">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7、项目承诺及技术保障；</w:t>
      </w:r>
    </w:p>
    <w:p w14:paraId="3ACE4440">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8、对本项目报告的合理化建议；</w:t>
      </w:r>
    </w:p>
    <w:p w14:paraId="448F38B1">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9、项目工作时间进度计划说明；</w:t>
      </w:r>
    </w:p>
    <w:p w14:paraId="70878FCA">
      <w:pPr>
        <w:autoSpaceDE w:val="0"/>
        <w:autoSpaceDN w:val="0"/>
        <w:adjustRightInd w:val="0"/>
        <w:spacing w:line="500" w:lineRule="exact"/>
        <w:ind w:firstLine="546" w:firstLineChars="195"/>
        <w:rPr>
          <w:rFonts w:hint="eastAsia" w:ascii="宋体" w:hAnsi="宋体"/>
          <w:sz w:val="28"/>
        </w:rPr>
      </w:pPr>
      <w:r>
        <w:rPr>
          <w:rFonts w:hint="eastAsia" w:ascii="宋体" w:hAnsi="宋体"/>
          <w:sz w:val="28"/>
        </w:rPr>
        <w:t>10、投标人需要补充的其他文件和说明。</w:t>
      </w:r>
    </w:p>
    <w:p w14:paraId="302A9200">
      <w:pPr>
        <w:autoSpaceDE w:val="0"/>
        <w:autoSpaceDN w:val="0"/>
        <w:adjustRightInd w:val="0"/>
        <w:spacing w:line="500" w:lineRule="exact"/>
        <w:ind w:firstLine="546" w:firstLineChars="195"/>
        <w:rPr>
          <w:rFonts w:hint="default" w:ascii="宋体" w:hAnsi="宋体"/>
          <w:sz w:val="28"/>
          <w:lang w:val="en-US" w:eastAsia="zh-CN"/>
        </w:rPr>
      </w:pPr>
    </w:p>
    <w:p w14:paraId="1D893D34">
      <w:pPr>
        <w:autoSpaceDE w:val="0"/>
        <w:autoSpaceDN w:val="0"/>
        <w:adjustRightInd w:val="0"/>
        <w:spacing w:line="500" w:lineRule="exact"/>
        <w:ind w:firstLine="546" w:firstLineChars="195"/>
        <w:rPr>
          <w:rFonts w:hint="eastAsia" w:ascii="宋体" w:hAnsi="宋体"/>
          <w:sz w:val="28"/>
          <w:lang w:eastAsia="zh-CN"/>
        </w:rPr>
        <w:sectPr>
          <w:footerReference r:id="rId14" w:type="default"/>
          <w:pgSz w:w="11906" w:h="16839"/>
          <w:pgMar w:top="1421" w:right="1532" w:bottom="1156" w:left="1650" w:header="0" w:footer="994" w:gutter="0"/>
          <w:cols w:space="720" w:num="1"/>
        </w:sectPr>
      </w:pPr>
    </w:p>
    <w:p w14:paraId="241EC4E7">
      <w:pPr>
        <w:pStyle w:val="5"/>
        <w:spacing w:line="393" w:lineRule="auto"/>
      </w:pPr>
    </w:p>
    <w:p w14:paraId="3BA14597">
      <w:pPr>
        <w:spacing w:before="113" w:line="227" w:lineRule="auto"/>
        <w:ind w:left="1942"/>
        <w:outlineLvl w:val="0"/>
        <w:rPr>
          <w:rFonts w:ascii="黑体" w:hAnsi="黑体" w:eastAsia="黑体" w:cs="黑体"/>
          <w:sz w:val="35"/>
          <w:szCs w:val="35"/>
        </w:rPr>
      </w:pPr>
      <w:r>
        <w:rPr>
          <w:rFonts w:ascii="黑体" w:hAnsi="黑体" w:eastAsia="黑体" w:cs="黑体"/>
          <w:b/>
          <w:bCs/>
          <w:spacing w:val="6"/>
          <w:sz w:val="35"/>
          <w:szCs w:val="35"/>
        </w:rPr>
        <w:t>第六章</w:t>
      </w:r>
      <w:r>
        <w:rPr>
          <w:rFonts w:ascii="黑体" w:hAnsi="黑体" w:eastAsia="黑体" w:cs="黑体"/>
          <w:spacing w:val="6"/>
          <w:sz w:val="35"/>
          <w:szCs w:val="35"/>
        </w:rPr>
        <w:t xml:space="preserve"> </w:t>
      </w:r>
      <w:r>
        <w:rPr>
          <w:rFonts w:ascii="黑体" w:hAnsi="黑体" w:eastAsia="黑体" w:cs="黑体"/>
          <w:b/>
          <w:bCs/>
          <w:spacing w:val="6"/>
          <w:sz w:val="35"/>
          <w:szCs w:val="35"/>
        </w:rPr>
        <w:t>响应文件格式及内容</w:t>
      </w:r>
    </w:p>
    <w:p w14:paraId="57D946C9">
      <w:pPr>
        <w:spacing w:before="226"/>
      </w:pPr>
    </w:p>
    <w:tbl>
      <w:tblPr>
        <w:tblStyle w:val="11"/>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523F41B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80" w:hRule="atLeast"/>
        </w:trPr>
        <w:tc>
          <w:tcPr>
            <w:tcW w:w="1895" w:type="dxa"/>
            <w:vAlign w:val="top"/>
          </w:tcPr>
          <w:p w14:paraId="29701E98">
            <w:pPr>
              <w:spacing w:before="69" w:line="215"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47AE2785">
      <w:pPr>
        <w:pStyle w:val="5"/>
        <w:spacing w:line="422" w:lineRule="auto"/>
      </w:pPr>
    </w:p>
    <w:p w14:paraId="4C036C91">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color="auto"/>
        </w:rPr>
        <w:tab/>
      </w:r>
      <w:r>
        <w:rPr>
          <w:rFonts w:ascii="黑体" w:hAnsi="黑体" w:eastAsia="黑体" w:cs="黑体"/>
          <w:spacing w:val="8"/>
          <w:sz w:val="35"/>
          <w:szCs w:val="35"/>
        </w:rPr>
        <w:t>（项目名称）</w:t>
      </w:r>
    </w:p>
    <w:p w14:paraId="4889F075">
      <w:pPr>
        <w:pStyle w:val="5"/>
      </w:pPr>
    </w:p>
    <w:p w14:paraId="06D3A1A8">
      <w:pPr>
        <w:pStyle w:val="5"/>
      </w:pPr>
    </w:p>
    <w:p w14:paraId="160E557C">
      <w:pPr>
        <w:pStyle w:val="5"/>
      </w:pPr>
    </w:p>
    <w:p w14:paraId="7A97F231">
      <w:pPr>
        <w:pStyle w:val="5"/>
      </w:pPr>
    </w:p>
    <w:p w14:paraId="1FC08E9B">
      <w:pPr>
        <w:pStyle w:val="5"/>
      </w:pPr>
    </w:p>
    <w:p w14:paraId="7891BFB2">
      <w:pPr>
        <w:pStyle w:val="5"/>
        <w:spacing w:line="241" w:lineRule="auto"/>
      </w:pPr>
    </w:p>
    <w:p w14:paraId="29820319">
      <w:pPr>
        <w:pStyle w:val="5"/>
        <w:spacing w:line="241" w:lineRule="auto"/>
      </w:pPr>
    </w:p>
    <w:p w14:paraId="19B28E44">
      <w:pPr>
        <w:pStyle w:val="5"/>
        <w:spacing w:line="241" w:lineRule="auto"/>
      </w:pPr>
    </w:p>
    <w:p w14:paraId="6E62B27B">
      <w:pPr>
        <w:pStyle w:val="5"/>
        <w:spacing w:line="241" w:lineRule="auto"/>
      </w:pPr>
    </w:p>
    <w:p w14:paraId="38AEE2E1">
      <w:pPr>
        <w:pStyle w:val="5"/>
        <w:spacing w:line="241" w:lineRule="auto"/>
      </w:pPr>
    </w:p>
    <w:p w14:paraId="281C36D6">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7B08B785">
      <w:pPr>
        <w:pStyle w:val="5"/>
        <w:spacing w:line="249" w:lineRule="auto"/>
      </w:pPr>
    </w:p>
    <w:p w14:paraId="52B78C48">
      <w:pPr>
        <w:pStyle w:val="5"/>
        <w:spacing w:line="249" w:lineRule="auto"/>
      </w:pPr>
    </w:p>
    <w:p w14:paraId="03179D11">
      <w:pPr>
        <w:pStyle w:val="5"/>
        <w:spacing w:line="249" w:lineRule="auto"/>
      </w:pPr>
    </w:p>
    <w:p w14:paraId="7FFB9091">
      <w:pPr>
        <w:pStyle w:val="5"/>
        <w:spacing w:line="249" w:lineRule="auto"/>
      </w:pPr>
    </w:p>
    <w:p w14:paraId="1C1F2C52">
      <w:pPr>
        <w:pStyle w:val="5"/>
        <w:spacing w:line="249" w:lineRule="auto"/>
      </w:pPr>
    </w:p>
    <w:p w14:paraId="2D95460E">
      <w:pPr>
        <w:pStyle w:val="5"/>
        <w:spacing w:line="249" w:lineRule="auto"/>
      </w:pPr>
    </w:p>
    <w:p w14:paraId="4BC0ACA1">
      <w:pPr>
        <w:pStyle w:val="5"/>
        <w:spacing w:line="249" w:lineRule="auto"/>
      </w:pPr>
    </w:p>
    <w:p w14:paraId="0A03BF05">
      <w:pPr>
        <w:pStyle w:val="5"/>
        <w:spacing w:line="249" w:lineRule="auto"/>
      </w:pPr>
    </w:p>
    <w:p w14:paraId="1D218CDD">
      <w:pPr>
        <w:pStyle w:val="5"/>
        <w:spacing w:line="250" w:lineRule="auto"/>
      </w:pPr>
    </w:p>
    <w:p w14:paraId="159A7E32">
      <w:pPr>
        <w:pStyle w:val="5"/>
        <w:spacing w:line="250" w:lineRule="auto"/>
      </w:pPr>
    </w:p>
    <w:p w14:paraId="48F245A7">
      <w:pPr>
        <w:pStyle w:val="5"/>
        <w:spacing w:line="250" w:lineRule="auto"/>
      </w:pPr>
    </w:p>
    <w:p w14:paraId="33993BFD">
      <w:pPr>
        <w:pStyle w:val="5"/>
        <w:spacing w:line="250" w:lineRule="auto"/>
      </w:pPr>
    </w:p>
    <w:p w14:paraId="23C4DAF7">
      <w:pPr>
        <w:pStyle w:val="5"/>
        <w:spacing w:line="250" w:lineRule="auto"/>
      </w:pPr>
    </w:p>
    <w:p w14:paraId="0F03D8B2">
      <w:pPr>
        <w:spacing w:before="91" w:line="397" w:lineRule="auto"/>
        <w:ind w:firstLine="27"/>
        <w:rPr>
          <w:rFonts w:ascii="黑体" w:hAnsi="黑体" w:eastAsia="黑体" w:cs="黑体"/>
          <w:sz w:val="28"/>
          <w:szCs w:val="28"/>
        </w:rPr>
      </w:pPr>
      <w:r>
        <w:rPr>
          <w:rFonts w:ascii="黑体" w:hAnsi="黑体" w:eastAsia="黑体" w:cs="黑体"/>
          <w:spacing w:val="-1"/>
          <w:sz w:val="28"/>
          <w:szCs w:val="28"/>
        </w:rPr>
        <w:t>承揽方</w:t>
      </w:r>
      <w:r>
        <w:rPr>
          <w:rFonts w:ascii="黑体" w:hAnsi="黑体" w:eastAsia="黑体" w:cs="黑体"/>
          <w:spacing w:val="-15"/>
          <w:sz w:val="28"/>
          <w:szCs w:val="28"/>
        </w:rPr>
        <w:t>：</w:t>
      </w:r>
      <w:r>
        <w:rPr>
          <w:rFonts w:ascii="黑体" w:hAnsi="黑体" w:eastAsia="黑体" w:cs="黑体"/>
          <w:sz w:val="28"/>
          <w:szCs w:val="28"/>
          <w:u w:val="single" w:color="auto"/>
        </w:rPr>
        <w:t xml:space="preserve">                                       </w:t>
      </w:r>
      <w:r>
        <w:rPr>
          <w:rFonts w:ascii="黑体" w:hAnsi="黑体" w:eastAsia="黑体" w:cs="黑体"/>
          <w:spacing w:val="-15"/>
          <w:sz w:val="28"/>
          <w:szCs w:val="28"/>
        </w:rPr>
        <w:t>（</w:t>
      </w:r>
      <w:r>
        <w:rPr>
          <w:rFonts w:ascii="黑体" w:hAnsi="黑体" w:eastAsia="黑体" w:cs="黑体"/>
          <w:spacing w:val="-1"/>
          <w:sz w:val="28"/>
          <w:szCs w:val="28"/>
        </w:rPr>
        <w:t>盖单位公章）</w:t>
      </w:r>
      <w:r>
        <w:rPr>
          <w:rFonts w:ascii="黑体" w:hAnsi="黑体" w:eastAsia="黑体" w:cs="黑体"/>
          <w:sz w:val="28"/>
          <w:szCs w:val="28"/>
        </w:rPr>
        <w:t xml:space="preserve"> 法定代表人或其委托代理人</w:t>
      </w:r>
      <w:r>
        <w:rPr>
          <w:rFonts w:ascii="黑体" w:hAnsi="黑体" w:eastAsia="黑体" w:cs="黑体"/>
          <w:spacing w:val="-7"/>
          <w:sz w:val="28"/>
          <w:szCs w:val="28"/>
        </w:rPr>
        <w:t>：</w:t>
      </w:r>
      <w:r>
        <w:rPr>
          <w:rFonts w:ascii="黑体" w:hAnsi="黑体" w:eastAsia="黑体" w:cs="黑体"/>
          <w:sz w:val="28"/>
          <w:szCs w:val="28"/>
          <w:u w:val="single" w:color="auto"/>
        </w:rPr>
        <w:t xml:space="preserve">                    </w:t>
      </w:r>
      <w:r>
        <w:rPr>
          <w:rFonts w:ascii="黑体" w:hAnsi="黑体" w:eastAsia="黑体" w:cs="黑体"/>
          <w:spacing w:val="-7"/>
          <w:sz w:val="28"/>
          <w:szCs w:val="28"/>
        </w:rPr>
        <w:t>（</w:t>
      </w:r>
      <w:r>
        <w:rPr>
          <w:rFonts w:ascii="黑体" w:hAnsi="黑体" w:eastAsia="黑体" w:cs="黑体"/>
          <w:sz w:val="28"/>
          <w:szCs w:val="28"/>
        </w:rPr>
        <w:t>签字或盖章）</w:t>
      </w:r>
    </w:p>
    <w:p w14:paraId="562DA6EE">
      <w:pPr>
        <w:pStyle w:val="5"/>
        <w:spacing w:line="286" w:lineRule="auto"/>
      </w:pPr>
    </w:p>
    <w:p w14:paraId="7EB297D1">
      <w:pPr>
        <w:pStyle w:val="5"/>
        <w:spacing w:line="286" w:lineRule="auto"/>
      </w:pPr>
    </w:p>
    <w:p w14:paraId="79919CE8">
      <w:pPr>
        <w:tabs>
          <w:tab w:val="left" w:pos="3417"/>
        </w:tabs>
        <w:spacing w:before="92" w:line="224" w:lineRule="auto"/>
        <w:ind w:left="2578"/>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4"/>
          <w:sz w:val="28"/>
          <w:szCs w:val="28"/>
        </w:rPr>
        <w:t xml:space="preserve"> </w:t>
      </w:r>
      <w:r>
        <w:rPr>
          <w:rFonts w:ascii="黑体" w:hAnsi="黑体" w:eastAsia="黑体" w:cs="黑体"/>
          <w:spacing w:val="-6"/>
          <w:sz w:val="28"/>
          <w:szCs w:val="28"/>
        </w:rPr>
        <w:t xml:space="preserve">年 </w:t>
      </w:r>
      <w:r>
        <w:rPr>
          <w:rFonts w:ascii="黑体" w:hAnsi="黑体" w:eastAsia="黑体" w:cs="黑体"/>
          <w:sz w:val="28"/>
          <w:szCs w:val="28"/>
          <w:u w:val="single" w:color="auto"/>
        </w:rPr>
        <w:t xml:space="preserve">   </w:t>
      </w:r>
      <w:r>
        <w:rPr>
          <w:rFonts w:ascii="黑体" w:hAnsi="黑体" w:eastAsia="黑体" w:cs="黑体"/>
          <w:spacing w:val="17"/>
          <w:sz w:val="28"/>
          <w:szCs w:val="28"/>
        </w:rPr>
        <w:t xml:space="preserve"> </w:t>
      </w:r>
      <w:r>
        <w:rPr>
          <w:rFonts w:ascii="黑体" w:hAnsi="黑体" w:eastAsia="黑体" w:cs="黑体"/>
          <w:spacing w:val="-6"/>
          <w:sz w:val="28"/>
          <w:szCs w:val="28"/>
        </w:rPr>
        <w:t xml:space="preserve">月  </w:t>
      </w:r>
      <w:r>
        <w:rPr>
          <w:rFonts w:ascii="黑体" w:hAnsi="黑体" w:eastAsia="黑体" w:cs="黑体"/>
          <w:sz w:val="28"/>
          <w:szCs w:val="28"/>
          <w:u w:val="single" w:color="auto"/>
        </w:rPr>
        <w:t xml:space="preserve">    </w:t>
      </w:r>
      <w:r>
        <w:rPr>
          <w:rFonts w:ascii="黑体" w:hAnsi="黑体" w:eastAsia="黑体" w:cs="黑体"/>
          <w:spacing w:val="-83"/>
          <w:sz w:val="28"/>
          <w:szCs w:val="28"/>
        </w:rPr>
        <w:t xml:space="preserve"> </w:t>
      </w:r>
      <w:r>
        <w:rPr>
          <w:rFonts w:ascii="黑体" w:hAnsi="黑体" w:eastAsia="黑体" w:cs="黑体"/>
          <w:spacing w:val="-6"/>
          <w:sz w:val="28"/>
          <w:szCs w:val="28"/>
        </w:rPr>
        <w:t>日</w:t>
      </w:r>
    </w:p>
    <w:p w14:paraId="524B22A1">
      <w:pPr>
        <w:spacing w:line="224" w:lineRule="auto"/>
        <w:rPr>
          <w:rFonts w:ascii="黑体" w:hAnsi="黑体" w:eastAsia="黑体" w:cs="黑体"/>
          <w:sz w:val="28"/>
          <w:szCs w:val="28"/>
        </w:rPr>
        <w:sectPr>
          <w:footerReference r:id="rId15" w:type="default"/>
          <w:pgSz w:w="11906" w:h="16839"/>
          <w:pgMar w:top="1431" w:right="1610" w:bottom="1156" w:left="1765" w:header="0" w:footer="994" w:gutter="0"/>
          <w:cols w:space="720" w:num="1"/>
        </w:sectPr>
      </w:pPr>
    </w:p>
    <w:p w14:paraId="366CA370">
      <w:pPr>
        <w:spacing w:before="162" w:line="227" w:lineRule="auto"/>
        <w:ind w:left="3577"/>
        <w:outlineLvl w:val="1"/>
        <w:rPr>
          <w:rFonts w:ascii="黑体" w:hAnsi="黑体" w:eastAsia="黑体" w:cs="黑体"/>
          <w:sz w:val="31"/>
          <w:szCs w:val="31"/>
        </w:rPr>
      </w:pPr>
      <w:r>
        <w:rPr>
          <w:rFonts w:ascii="黑体" w:hAnsi="黑体" w:eastAsia="黑体" w:cs="黑体"/>
          <w:b/>
          <w:bCs/>
          <w:spacing w:val="-25"/>
          <w:sz w:val="31"/>
          <w:szCs w:val="31"/>
        </w:rPr>
        <w:t>目</w:t>
      </w:r>
      <w:r>
        <w:rPr>
          <w:rFonts w:ascii="黑体" w:hAnsi="黑体" w:eastAsia="黑体" w:cs="黑体"/>
          <w:spacing w:val="8"/>
          <w:sz w:val="31"/>
          <w:szCs w:val="31"/>
        </w:rPr>
        <w:t xml:space="preserve">    </w:t>
      </w:r>
      <w:r>
        <w:rPr>
          <w:rFonts w:ascii="黑体" w:hAnsi="黑体" w:eastAsia="黑体" w:cs="黑体"/>
          <w:b/>
          <w:bCs/>
          <w:spacing w:val="-25"/>
          <w:sz w:val="31"/>
          <w:szCs w:val="31"/>
        </w:rPr>
        <w:t>录</w:t>
      </w:r>
    </w:p>
    <w:p w14:paraId="769290C1">
      <w:pPr>
        <w:pStyle w:val="5"/>
        <w:spacing w:line="256" w:lineRule="auto"/>
      </w:pPr>
    </w:p>
    <w:p w14:paraId="31521DA6">
      <w:pPr>
        <w:pStyle w:val="5"/>
        <w:spacing w:line="256" w:lineRule="auto"/>
      </w:pPr>
    </w:p>
    <w:p w14:paraId="0A7C8DDE">
      <w:pPr>
        <w:spacing w:before="78" w:line="218" w:lineRule="auto"/>
        <w:ind w:left="521"/>
        <w:rPr>
          <w:rFonts w:ascii="宋体" w:hAnsi="宋体" w:eastAsia="宋体" w:cs="宋体"/>
          <w:sz w:val="24"/>
          <w:szCs w:val="24"/>
        </w:rPr>
      </w:pPr>
      <w:r>
        <w:rPr>
          <w:rFonts w:ascii="宋体" w:hAnsi="宋体" w:eastAsia="宋体" w:cs="宋体"/>
          <w:spacing w:val="-6"/>
          <w:sz w:val="24"/>
          <w:szCs w:val="24"/>
        </w:rPr>
        <w:t>1、报价函</w:t>
      </w:r>
    </w:p>
    <w:p w14:paraId="5EE3EFEE">
      <w:pPr>
        <w:spacing w:before="105" w:line="219" w:lineRule="auto"/>
        <w:ind w:left="506"/>
        <w:rPr>
          <w:rFonts w:ascii="宋体" w:hAnsi="宋体" w:eastAsia="宋体" w:cs="宋体"/>
          <w:sz w:val="24"/>
          <w:szCs w:val="24"/>
        </w:rPr>
      </w:pPr>
      <w:r>
        <w:rPr>
          <w:rFonts w:ascii="宋体" w:hAnsi="宋体" w:eastAsia="宋体" w:cs="宋体"/>
          <w:spacing w:val="-2"/>
          <w:sz w:val="24"/>
          <w:szCs w:val="24"/>
        </w:rPr>
        <w:t>2、法定代表人身份证明</w:t>
      </w:r>
    </w:p>
    <w:p w14:paraId="5CCC86E7">
      <w:pPr>
        <w:spacing w:before="226"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44BE0F06">
      <w:pPr>
        <w:spacing w:before="184" w:line="219" w:lineRule="auto"/>
        <w:ind w:left="502"/>
        <w:rPr>
          <w:rFonts w:ascii="宋体" w:hAnsi="宋体" w:eastAsia="宋体" w:cs="宋体"/>
          <w:sz w:val="24"/>
          <w:szCs w:val="24"/>
        </w:rPr>
      </w:pPr>
      <w:r>
        <w:rPr>
          <w:rFonts w:ascii="宋体" w:hAnsi="宋体" w:eastAsia="宋体" w:cs="宋体"/>
          <w:spacing w:val="-2"/>
          <w:sz w:val="24"/>
          <w:szCs w:val="24"/>
        </w:rPr>
        <w:t>4、资格审查资料</w:t>
      </w:r>
    </w:p>
    <w:p w14:paraId="52981E14">
      <w:pPr>
        <w:spacing w:before="183" w:line="218" w:lineRule="auto"/>
        <w:ind w:left="508"/>
        <w:rPr>
          <w:rFonts w:ascii="宋体" w:hAnsi="宋体" w:eastAsia="宋体" w:cs="宋体"/>
          <w:sz w:val="24"/>
          <w:szCs w:val="24"/>
        </w:rPr>
      </w:pPr>
      <w:r>
        <w:rPr>
          <w:rFonts w:ascii="宋体" w:hAnsi="宋体" w:eastAsia="宋体" w:cs="宋体"/>
          <w:spacing w:val="-3"/>
          <w:sz w:val="24"/>
          <w:szCs w:val="24"/>
        </w:rPr>
        <w:t>5、报价表</w:t>
      </w:r>
    </w:p>
    <w:p w14:paraId="5EFC8014">
      <w:pPr>
        <w:spacing w:before="184" w:line="219" w:lineRule="auto"/>
        <w:ind w:left="505"/>
        <w:rPr>
          <w:rFonts w:ascii="宋体" w:hAnsi="宋体" w:eastAsia="宋体" w:cs="宋体"/>
          <w:sz w:val="24"/>
          <w:szCs w:val="24"/>
        </w:rPr>
      </w:pPr>
      <w:r>
        <w:rPr>
          <w:rFonts w:ascii="宋体" w:hAnsi="宋体" w:eastAsia="宋体" w:cs="宋体"/>
          <w:spacing w:val="-1"/>
          <w:sz w:val="24"/>
          <w:szCs w:val="24"/>
        </w:rPr>
        <w:t>6、拟投入项目的主要设备及人员</w:t>
      </w:r>
    </w:p>
    <w:p w14:paraId="0BF192B1">
      <w:pPr>
        <w:spacing w:before="184" w:line="219" w:lineRule="auto"/>
        <w:ind w:left="509"/>
        <w:rPr>
          <w:rFonts w:ascii="宋体" w:hAnsi="宋体" w:eastAsia="宋体" w:cs="宋体"/>
          <w:sz w:val="24"/>
          <w:szCs w:val="24"/>
        </w:rPr>
      </w:pPr>
      <w:r>
        <w:rPr>
          <w:rFonts w:ascii="宋体" w:hAnsi="宋体" w:eastAsia="宋体" w:cs="宋体"/>
          <w:spacing w:val="-2"/>
          <w:sz w:val="24"/>
          <w:szCs w:val="24"/>
        </w:rPr>
        <w:t>7、商务或技术偏差表</w:t>
      </w:r>
    </w:p>
    <w:p w14:paraId="57853011">
      <w:pPr>
        <w:spacing w:before="183" w:line="219" w:lineRule="auto"/>
        <w:ind w:left="504"/>
        <w:rPr>
          <w:rFonts w:ascii="宋体" w:hAnsi="宋体" w:eastAsia="宋体" w:cs="宋体"/>
          <w:spacing w:val="-1"/>
          <w:sz w:val="24"/>
          <w:szCs w:val="24"/>
        </w:rPr>
      </w:pPr>
      <w:r>
        <w:rPr>
          <w:rFonts w:ascii="宋体" w:hAnsi="宋体" w:eastAsia="宋体" w:cs="宋体"/>
          <w:spacing w:val="-1"/>
          <w:sz w:val="24"/>
          <w:szCs w:val="24"/>
        </w:rPr>
        <w:t>8、承揽方认为应补充的其它资料</w:t>
      </w:r>
    </w:p>
    <w:p w14:paraId="17F9DA65">
      <w:pPr>
        <w:spacing w:before="183" w:line="219" w:lineRule="auto"/>
        <w:ind w:left="504"/>
        <w:rPr>
          <w:rFonts w:hint="eastAsia" w:ascii="宋体" w:hAnsi="宋体" w:eastAsia="宋体" w:cs="宋体"/>
          <w:sz w:val="24"/>
          <w:szCs w:val="24"/>
          <w:lang w:val="en-US" w:eastAsia="zh-CN"/>
        </w:rPr>
        <w:sectPr>
          <w:footerReference r:id="rId16" w:type="default"/>
          <w:pgSz w:w="11906" w:h="16839"/>
          <w:pgMar w:top="1431" w:right="1785" w:bottom="1156" w:left="1785" w:header="0" w:footer="994" w:gutter="0"/>
          <w:cols w:space="720" w:num="1"/>
        </w:sectPr>
      </w:pPr>
      <w:r>
        <w:rPr>
          <w:rFonts w:hint="eastAsia" w:ascii="宋体" w:hAnsi="宋体" w:eastAsia="宋体" w:cs="宋体"/>
          <w:sz w:val="24"/>
          <w:szCs w:val="24"/>
          <w:lang w:val="en-US" w:eastAsia="zh-CN"/>
        </w:rPr>
        <w:t>9</w:t>
      </w:r>
      <w:r>
        <w:rPr>
          <w:rFonts w:hint="eastAsia" w:ascii="宋体" w:hAnsi="宋体" w:eastAsia="宋体" w:cs="宋体"/>
          <w:sz w:val="24"/>
          <w:szCs w:val="24"/>
        </w:rPr>
        <w:t>、技术部分</w:t>
      </w:r>
      <w:r>
        <w:rPr>
          <w:rFonts w:hint="eastAsia" w:ascii="宋体" w:hAnsi="宋体" w:eastAsia="宋体" w:cs="宋体"/>
          <w:sz w:val="24"/>
          <w:szCs w:val="24"/>
          <w:lang w:val="en-US" w:eastAsia="zh-CN"/>
        </w:rPr>
        <w:t>要求</w:t>
      </w:r>
    </w:p>
    <w:p w14:paraId="2E7B9A35">
      <w:pPr>
        <w:pStyle w:val="5"/>
        <w:spacing w:line="316" w:lineRule="auto"/>
      </w:pPr>
    </w:p>
    <w:p w14:paraId="5940D4AC">
      <w:pPr>
        <w:spacing w:before="78" w:line="218" w:lineRule="auto"/>
        <w:ind w:left="42"/>
        <w:outlineLvl w:val="2"/>
        <w:rPr>
          <w:rFonts w:ascii="宋体" w:hAnsi="宋体" w:eastAsia="宋体" w:cs="宋体"/>
          <w:sz w:val="24"/>
          <w:szCs w:val="24"/>
        </w:rPr>
      </w:pPr>
      <w:r>
        <w:rPr>
          <w:rFonts w:ascii="Times New Roman" w:hAnsi="Times New Roman" w:eastAsia="Times New Roman" w:cs="Times New Roman"/>
          <w:spacing w:val="-1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1"/>
          <w:sz w:val="24"/>
          <w:szCs w:val="24"/>
        </w:rPr>
        <w:t>、报价函</w:t>
      </w:r>
    </w:p>
    <w:p w14:paraId="33F24E01">
      <w:pPr>
        <w:tabs>
          <w:tab w:val="left" w:pos="2893"/>
        </w:tabs>
        <w:spacing w:before="107" w:line="219"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6501B682">
      <w:pPr>
        <w:spacing w:before="105" w:line="259" w:lineRule="auto"/>
        <w:ind w:left="50" w:firstLine="471"/>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（项目名称）谈判文件的全部内容，愿意</w:t>
      </w:r>
      <w:r>
        <w:rPr>
          <w:rFonts w:ascii="宋体" w:hAnsi="宋体" w:eastAsia="宋体" w:cs="宋体"/>
          <w:sz w:val="24"/>
          <w:szCs w:val="24"/>
        </w:rPr>
        <w:t xml:space="preserve">  </w:t>
      </w:r>
      <w:r>
        <w:rPr>
          <w:rFonts w:ascii="宋体" w:hAnsi="宋体" w:eastAsia="宋体" w:cs="宋体"/>
          <w:spacing w:val="-3"/>
          <w:sz w:val="24"/>
          <w:szCs w:val="24"/>
        </w:rPr>
        <w:t>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
          <w:sz w:val="24"/>
          <w:szCs w:val="24"/>
          <w:u w:val="single" w:color="auto"/>
        </w:rPr>
        <w:t xml:space="preserve">                  </w:t>
      </w: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）的总报价，按合同约定履</w:t>
      </w:r>
      <w:r>
        <w:rPr>
          <w:rFonts w:ascii="宋体" w:hAnsi="宋体" w:eastAsia="宋体" w:cs="宋体"/>
          <w:spacing w:val="-4"/>
          <w:sz w:val="24"/>
          <w:szCs w:val="24"/>
        </w:rPr>
        <w:t>行所有义务。</w:t>
      </w:r>
    </w:p>
    <w:p w14:paraId="48DD00DA">
      <w:pPr>
        <w:spacing w:before="105"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．我方承诺在谈判文件规定的谈判有效期内不修改、</w:t>
      </w:r>
      <w:r>
        <w:rPr>
          <w:rFonts w:ascii="宋体" w:hAnsi="宋体" w:eastAsia="宋体" w:cs="宋体"/>
          <w:spacing w:val="-2"/>
          <w:sz w:val="24"/>
          <w:szCs w:val="24"/>
        </w:rPr>
        <w:t>撤销响应文件。</w:t>
      </w:r>
    </w:p>
    <w:p w14:paraId="2A62C0DF">
      <w:pPr>
        <w:spacing w:before="106" w:line="220" w:lineRule="auto"/>
        <w:ind w:left="503"/>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23"/>
          <w:sz w:val="24"/>
          <w:szCs w:val="24"/>
        </w:rPr>
        <w:t xml:space="preserve"> </w:t>
      </w:r>
      <w:r>
        <w:rPr>
          <w:rFonts w:ascii="宋体" w:hAnsi="宋体" w:eastAsia="宋体" w:cs="宋体"/>
          <w:spacing w:val="-6"/>
          <w:sz w:val="24"/>
          <w:szCs w:val="24"/>
        </w:rPr>
        <w:t>．如我方成交：</w:t>
      </w:r>
    </w:p>
    <w:p w14:paraId="6A0AECBB">
      <w:pPr>
        <w:spacing w:before="103" w:line="261" w:lineRule="auto"/>
        <w:ind w:left="23" w:right="80" w:firstLine="83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）我方承诺在收到成交通知书后，在成交通知书规定的期限内与你方</w:t>
      </w:r>
      <w:r>
        <w:rPr>
          <w:rFonts w:ascii="宋体" w:hAnsi="宋体" w:eastAsia="宋体" w:cs="宋体"/>
          <w:sz w:val="24"/>
          <w:szCs w:val="24"/>
        </w:rPr>
        <w:t xml:space="preserve"> </w:t>
      </w:r>
      <w:r>
        <w:rPr>
          <w:rFonts w:ascii="宋体" w:hAnsi="宋体" w:eastAsia="宋体" w:cs="宋体"/>
          <w:spacing w:val="-2"/>
          <w:sz w:val="24"/>
          <w:szCs w:val="24"/>
        </w:rPr>
        <w:t>签订合同。</w:t>
      </w:r>
    </w:p>
    <w:p w14:paraId="33CDF674">
      <w:pPr>
        <w:spacing w:before="101" w:line="218"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）随同本报价函递交的报价函附录属于合同文件的组成部分。</w:t>
      </w:r>
    </w:p>
    <w:p w14:paraId="73A86851">
      <w:pPr>
        <w:spacing w:before="108" w:line="219"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）我方承诺按照谈判文件规定向你方递交履约担保。</w:t>
      </w:r>
    </w:p>
    <w:p w14:paraId="740E5042">
      <w:pPr>
        <w:spacing w:before="104" w:line="219" w:lineRule="auto"/>
        <w:ind w:left="85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）我方承诺在合同约定的期限交付货物。</w:t>
      </w:r>
    </w:p>
    <w:p w14:paraId="16C0CD2A">
      <w:pPr>
        <w:spacing w:before="107" w:line="219" w:lineRule="auto"/>
        <w:ind w:left="49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．我方在此声明，所递交的响应文件及有关资料内容完整、真实</w:t>
      </w:r>
      <w:r>
        <w:rPr>
          <w:rFonts w:ascii="宋体" w:hAnsi="宋体" w:eastAsia="宋体" w:cs="宋体"/>
          <w:spacing w:val="-2"/>
          <w:sz w:val="24"/>
          <w:szCs w:val="24"/>
        </w:rPr>
        <w:t>和准确。</w:t>
      </w:r>
    </w:p>
    <w:p w14:paraId="2788ED44">
      <w:pPr>
        <w:spacing w:before="104" w:line="273" w:lineRule="auto"/>
        <w:ind w:left="25" w:right="80" w:firstLine="480"/>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我方承诺参加谈判活动近三年内无违法犯罪及其它不良行为记录，如有</w:t>
      </w:r>
      <w:r>
        <w:rPr>
          <w:rFonts w:ascii="宋体" w:hAnsi="宋体" w:eastAsia="宋体" w:cs="宋体"/>
          <w:sz w:val="24"/>
          <w:szCs w:val="24"/>
        </w:rPr>
        <w:t xml:space="preserve"> </w:t>
      </w:r>
      <w:r>
        <w:rPr>
          <w:rFonts w:ascii="宋体" w:hAnsi="宋体" w:eastAsia="宋体" w:cs="宋体"/>
          <w:spacing w:val="-3"/>
          <w:sz w:val="24"/>
          <w:szCs w:val="24"/>
        </w:rPr>
        <w:t>经行政主管部门查实或通报的不良记录，我方放弃参加本次项目谈判的权利，并</w:t>
      </w:r>
      <w:r>
        <w:rPr>
          <w:rFonts w:ascii="宋体" w:hAnsi="宋体" w:eastAsia="宋体" w:cs="宋体"/>
          <w:sz w:val="24"/>
          <w:szCs w:val="24"/>
        </w:rPr>
        <w:t xml:space="preserve"> </w:t>
      </w:r>
      <w:r>
        <w:rPr>
          <w:rFonts w:ascii="宋体" w:hAnsi="宋体" w:eastAsia="宋体" w:cs="宋体"/>
          <w:spacing w:val="-1"/>
          <w:sz w:val="24"/>
          <w:szCs w:val="24"/>
        </w:rPr>
        <w:t>无条件承担相应后果和损失。</w:t>
      </w:r>
    </w:p>
    <w:p w14:paraId="373A82DF">
      <w:pPr>
        <w:spacing w:before="106" w:line="259" w:lineRule="auto"/>
        <w:ind w:left="23" w:right="746" w:firstLine="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pacing w:val="-2"/>
          <w:sz w:val="24"/>
          <w:szCs w:val="24"/>
        </w:rPr>
        <w:t>其他补充说明）。</w:t>
      </w:r>
      <w:r>
        <w:rPr>
          <w:rFonts w:ascii="宋体" w:hAnsi="宋体" w:eastAsia="宋体" w:cs="宋体"/>
          <w:sz w:val="24"/>
          <w:szCs w:val="24"/>
        </w:rPr>
        <w:t xml:space="preserve"> </w:t>
      </w: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7300DE2B">
      <w:pPr>
        <w:spacing w:before="106" w:line="286" w:lineRule="auto"/>
        <w:ind w:left="22" w:right="288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签字并盖章）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6C5D4B23">
      <w:pPr>
        <w:tabs>
          <w:tab w:val="left" w:pos="5174"/>
        </w:tabs>
        <w:spacing w:before="35" w:line="295" w:lineRule="auto"/>
        <w:ind w:left="21" w:right="3226" w:firstLine="1"/>
        <w:jc w:val="both"/>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14:paraId="467B3B7B">
      <w:pPr>
        <w:pStyle w:val="5"/>
        <w:spacing w:line="344" w:lineRule="auto"/>
      </w:pPr>
    </w:p>
    <w:p w14:paraId="0612AE76">
      <w:pPr>
        <w:tabs>
          <w:tab w:val="left" w:pos="6760"/>
        </w:tabs>
        <w:spacing w:before="79" w:line="219" w:lineRule="auto"/>
        <w:ind w:left="6280"/>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963D42E">
      <w:pPr>
        <w:spacing w:line="219" w:lineRule="auto"/>
        <w:rPr>
          <w:rFonts w:ascii="宋体" w:hAnsi="宋体" w:eastAsia="宋体" w:cs="宋体"/>
          <w:sz w:val="24"/>
          <w:szCs w:val="24"/>
        </w:rPr>
        <w:sectPr>
          <w:footerReference r:id="rId17" w:type="default"/>
          <w:pgSz w:w="11906" w:h="16839"/>
          <w:pgMar w:top="1431" w:right="1719" w:bottom="1156" w:left="1785" w:header="0" w:footer="994" w:gutter="0"/>
          <w:cols w:space="720" w:num="1"/>
        </w:sectPr>
      </w:pPr>
    </w:p>
    <w:p w14:paraId="2C6EC406">
      <w:pPr>
        <w:pStyle w:val="5"/>
        <w:spacing w:line="450" w:lineRule="auto"/>
      </w:pPr>
    </w:p>
    <w:p w14:paraId="4CA6A5A8">
      <w:pPr>
        <w:spacing w:before="78" w:line="219" w:lineRule="auto"/>
        <w:ind w:left="26"/>
        <w:rPr>
          <w:rFonts w:ascii="宋体" w:hAnsi="宋体" w:eastAsia="宋体" w:cs="宋体"/>
          <w:sz w:val="24"/>
          <w:szCs w:val="24"/>
        </w:rPr>
      </w:pPr>
      <w:r>
        <w:rPr>
          <w:rFonts w:ascii="宋体" w:hAnsi="宋体" w:eastAsia="宋体" w:cs="宋体"/>
          <w:spacing w:val="-2"/>
          <w:sz w:val="24"/>
          <w:szCs w:val="24"/>
        </w:rPr>
        <w:t>2、法定代表人身份证明</w:t>
      </w:r>
    </w:p>
    <w:p w14:paraId="1DACFC0A">
      <w:pPr>
        <w:spacing w:before="299" w:line="218" w:lineRule="auto"/>
        <w:ind w:left="873"/>
        <w:outlineLvl w:val="1"/>
        <w:rPr>
          <w:rFonts w:ascii="Times New Roman" w:hAnsi="Times New Roman" w:eastAsia="Times New Roman" w:cs="Times New Roman"/>
          <w:sz w:val="31"/>
          <w:szCs w:val="31"/>
        </w:rPr>
      </w:pPr>
      <w:r>
        <w:rPr>
          <w:rFonts w:ascii="黑体" w:hAnsi="黑体" w:eastAsia="黑体" w:cs="黑体"/>
          <w:spacing w:val="8"/>
          <w:sz w:val="31"/>
          <w:szCs w:val="31"/>
        </w:rPr>
        <w:t>法定代表人身份证明</w:t>
      </w:r>
      <w:r>
        <w:rPr>
          <w:rFonts w:ascii="Times New Roman" w:hAnsi="Times New Roman" w:eastAsia="Times New Roman" w:cs="Times New Roman"/>
          <w:spacing w:val="8"/>
          <w:sz w:val="31"/>
          <w:szCs w:val="31"/>
        </w:rPr>
        <w:t>(</w:t>
      </w:r>
      <w:r>
        <w:rPr>
          <w:rFonts w:ascii="黑体" w:hAnsi="黑体" w:eastAsia="黑体" w:cs="黑体"/>
          <w:spacing w:val="8"/>
          <w:sz w:val="31"/>
          <w:szCs w:val="31"/>
        </w:rPr>
        <w:t>适用于法定代表人</w:t>
      </w:r>
      <w:r>
        <w:rPr>
          <w:rFonts w:hint="eastAsia" w:ascii="黑体" w:hAnsi="黑体" w:eastAsia="黑体" w:cs="黑体"/>
          <w:spacing w:val="8"/>
          <w:sz w:val="31"/>
          <w:szCs w:val="31"/>
          <w:lang w:val="en-US" w:eastAsia="zh-CN"/>
        </w:rPr>
        <w:t>谈判</w:t>
      </w:r>
      <w:r>
        <w:rPr>
          <w:rFonts w:ascii="黑体" w:hAnsi="黑体" w:eastAsia="黑体" w:cs="黑体"/>
          <w:spacing w:val="8"/>
          <w:sz w:val="31"/>
          <w:szCs w:val="31"/>
        </w:rPr>
        <w:t>时</w:t>
      </w:r>
      <w:r>
        <w:rPr>
          <w:rFonts w:ascii="Times New Roman" w:hAnsi="Times New Roman" w:eastAsia="Times New Roman" w:cs="Times New Roman"/>
          <w:spacing w:val="8"/>
          <w:sz w:val="31"/>
          <w:szCs w:val="31"/>
        </w:rPr>
        <w:t>)</w:t>
      </w:r>
    </w:p>
    <w:p w14:paraId="5F7656E6">
      <w:pPr>
        <w:pStyle w:val="5"/>
        <w:spacing w:line="272" w:lineRule="auto"/>
      </w:pPr>
    </w:p>
    <w:p w14:paraId="34731ADB">
      <w:pPr>
        <w:pStyle w:val="5"/>
        <w:spacing w:line="272" w:lineRule="auto"/>
      </w:pPr>
    </w:p>
    <w:p w14:paraId="3A348563">
      <w:pPr>
        <w:spacing w:before="78" w:line="220" w:lineRule="auto"/>
        <w:ind w:left="26"/>
        <w:rPr>
          <w:rFonts w:ascii="宋体" w:hAnsi="宋体" w:eastAsia="宋体" w:cs="宋体"/>
          <w:sz w:val="24"/>
          <w:szCs w:val="24"/>
        </w:rPr>
      </w:pP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名称：</w:t>
      </w:r>
      <w:r>
        <w:rPr>
          <w:rFonts w:ascii="宋体" w:hAnsi="宋体" w:eastAsia="宋体" w:cs="宋体"/>
          <w:sz w:val="24"/>
          <w:szCs w:val="24"/>
          <w:u w:val="single" w:color="auto"/>
        </w:rPr>
        <w:t xml:space="preserve">                   </w:t>
      </w:r>
    </w:p>
    <w:p w14:paraId="1DBBD9FE">
      <w:pPr>
        <w:spacing w:before="199" w:line="227" w:lineRule="auto"/>
        <w:ind w:left="23"/>
        <w:rPr>
          <w:rFonts w:ascii="宋体" w:hAnsi="宋体" w:eastAsia="宋体" w:cs="宋体"/>
          <w:sz w:val="24"/>
          <w:szCs w:val="24"/>
        </w:rPr>
      </w:pPr>
      <w:r>
        <w:rPr>
          <w:rFonts w:ascii="宋体" w:hAnsi="宋体" w:eastAsia="宋体" w:cs="宋体"/>
          <w:spacing w:val="-2"/>
          <w:sz w:val="24"/>
          <w:szCs w:val="24"/>
        </w:rPr>
        <w:t>姓名</w:t>
      </w:r>
      <w:r>
        <w:rPr>
          <w:rFonts w:ascii="仿宋" w:hAnsi="仿宋" w:eastAsia="仿宋" w:cs="仿宋"/>
          <w:spacing w:val="-2"/>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2"/>
          <w:sz w:val="28"/>
          <w:szCs w:val="28"/>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年龄</w:t>
      </w:r>
      <w:r>
        <w:rPr>
          <w:rFonts w:ascii="仿宋" w:hAnsi="仿宋" w:eastAsia="仿宋" w:cs="仿宋"/>
          <w:spacing w:val="-2"/>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105"/>
          <w:sz w:val="28"/>
          <w:szCs w:val="28"/>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042A705F">
      <w:pPr>
        <w:spacing w:before="175" w:line="224" w:lineRule="auto"/>
        <w:ind w:left="28"/>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37"/>
          <w:sz w:val="24"/>
          <w:szCs w:val="24"/>
        </w:rPr>
        <w:t xml:space="preserve"> </w:t>
      </w:r>
      <w:r>
        <w:rPr>
          <w:rFonts w:ascii="仿宋" w:hAnsi="仿宋" w:eastAsia="仿宋" w:cs="仿宋"/>
          <w:spacing w:val="-2"/>
          <w:sz w:val="28"/>
          <w:szCs w:val="28"/>
        </w:rPr>
        <w:t>(</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名称）的法定代表人（单位负责人)</w:t>
      </w:r>
    </w:p>
    <w:p w14:paraId="1E352730">
      <w:pPr>
        <w:spacing w:before="216" w:line="219" w:lineRule="auto"/>
        <w:ind w:left="23"/>
        <w:rPr>
          <w:rFonts w:ascii="宋体" w:hAnsi="宋体" w:eastAsia="宋体" w:cs="宋体"/>
          <w:sz w:val="24"/>
          <w:szCs w:val="24"/>
        </w:rPr>
      </w:pPr>
      <w:r>
        <w:rPr>
          <w:rFonts w:ascii="宋体" w:hAnsi="宋体" w:eastAsia="宋体" w:cs="宋体"/>
          <w:spacing w:val="-2"/>
          <w:sz w:val="24"/>
          <w:szCs w:val="24"/>
        </w:rPr>
        <w:t>特此证明。</w:t>
      </w:r>
    </w:p>
    <w:p w14:paraId="6D6A88C4">
      <w:pPr>
        <w:spacing w:before="236" w:line="385" w:lineRule="auto"/>
        <w:ind w:left="23" w:right="3319" w:firstLine="18"/>
        <w:rPr>
          <w:rFonts w:ascii="宋体" w:hAnsi="宋体" w:eastAsia="宋体" w:cs="宋体"/>
          <w:sz w:val="24"/>
          <w:szCs w:val="24"/>
        </w:rPr>
      </w:pPr>
      <w:r>
        <w:rPr>
          <w:rFonts w:ascii="宋体" w:hAnsi="宋体" w:eastAsia="宋体" w:cs="宋体"/>
          <w:spacing w:val="-4"/>
          <w:sz w:val="24"/>
          <w:szCs w:val="24"/>
        </w:rPr>
        <w:t>附：法定代表人（单位负责人）身份证复印件。</w:t>
      </w:r>
      <w:r>
        <w:rPr>
          <w:rFonts w:ascii="宋体" w:hAnsi="宋体" w:eastAsia="宋体" w:cs="宋体"/>
          <w:spacing w:val="15"/>
          <w:sz w:val="24"/>
          <w:szCs w:val="24"/>
        </w:rPr>
        <w:t xml:space="preserve"> </w:t>
      </w:r>
      <w:r>
        <w:rPr>
          <w:rFonts w:ascii="宋体" w:hAnsi="宋体" w:eastAsia="宋体" w:cs="宋体"/>
          <w:spacing w:val="-1"/>
          <w:sz w:val="24"/>
          <w:szCs w:val="24"/>
        </w:rPr>
        <w:t>注：本身份证明需由承揽方加盖单位公章。</w:t>
      </w:r>
    </w:p>
    <w:p w14:paraId="251298DE">
      <w:pPr>
        <w:pStyle w:val="5"/>
        <w:spacing w:line="254" w:lineRule="auto"/>
      </w:pPr>
    </w:p>
    <w:p w14:paraId="280C5D83">
      <w:pPr>
        <w:pStyle w:val="5"/>
        <w:spacing w:line="254" w:lineRule="auto"/>
      </w:pPr>
    </w:p>
    <w:p w14:paraId="323AD98E">
      <w:pPr>
        <w:pStyle w:val="5"/>
        <w:spacing w:line="254" w:lineRule="auto"/>
      </w:pPr>
    </w:p>
    <w:p w14:paraId="6AEC5A87">
      <w:pPr>
        <w:pStyle w:val="5"/>
        <w:spacing w:line="254" w:lineRule="auto"/>
      </w:pPr>
    </w:p>
    <w:p w14:paraId="5045366C">
      <w:pPr>
        <w:pStyle w:val="5"/>
        <w:spacing w:line="255" w:lineRule="auto"/>
      </w:pPr>
    </w:p>
    <w:p w14:paraId="2289AC05">
      <w:pPr>
        <w:pStyle w:val="5"/>
        <w:spacing w:line="255" w:lineRule="auto"/>
      </w:pPr>
    </w:p>
    <w:p w14:paraId="25F5C633">
      <w:pPr>
        <w:spacing w:before="78" w:line="219" w:lineRule="auto"/>
        <w:ind w:left="4166"/>
        <w:rPr>
          <w:rFonts w:ascii="宋体" w:hAnsi="宋体" w:eastAsia="宋体" w:cs="宋体"/>
          <w:sz w:val="24"/>
          <w:szCs w:val="24"/>
        </w:rPr>
      </w:pPr>
      <w:r>
        <w:rPr>
          <w:rFonts w:hint="eastAsia" w:ascii="宋体" w:hAnsi="宋体" w:eastAsia="宋体" w:cs="宋体"/>
          <w:spacing w:val="-15"/>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5"/>
          <w:sz w:val="24"/>
          <w:szCs w:val="24"/>
        </w:rPr>
        <w:t>(单位公章)</w:t>
      </w:r>
    </w:p>
    <w:p w14:paraId="046E88D5">
      <w:pPr>
        <w:pStyle w:val="5"/>
        <w:spacing w:line="264" w:lineRule="auto"/>
      </w:pPr>
    </w:p>
    <w:p w14:paraId="29B773D5">
      <w:pPr>
        <w:pStyle w:val="5"/>
        <w:spacing w:line="265" w:lineRule="auto"/>
      </w:pPr>
    </w:p>
    <w:p w14:paraId="2265338C">
      <w:pPr>
        <w:pStyle w:val="5"/>
        <w:spacing w:line="265" w:lineRule="auto"/>
      </w:pPr>
    </w:p>
    <w:p w14:paraId="4F0CC696">
      <w:pPr>
        <w:spacing w:before="79" w:line="219" w:lineRule="auto"/>
        <w:ind w:left="4663"/>
        <w:rPr>
          <w:rFonts w:ascii="宋体" w:hAnsi="宋体" w:eastAsia="宋体" w:cs="宋体"/>
          <w:sz w:val="24"/>
          <w:szCs w:val="24"/>
        </w:rPr>
      </w:pPr>
      <w:r>
        <w:rPr>
          <w:rFonts w:ascii="宋体" w:hAnsi="宋体" w:eastAsia="宋体" w:cs="宋体"/>
          <w:spacing w:val="-4"/>
          <w:sz w:val="24"/>
          <w:szCs w:val="24"/>
        </w:rPr>
        <w:t>年月日</w:t>
      </w:r>
    </w:p>
    <w:p w14:paraId="00A8B371">
      <w:pPr>
        <w:spacing w:line="219" w:lineRule="auto"/>
        <w:rPr>
          <w:rFonts w:ascii="宋体" w:hAnsi="宋体" w:eastAsia="宋体" w:cs="宋体"/>
          <w:sz w:val="24"/>
          <w:szCs w:val="24"/>
        </w:rPr>
        <w:sectPr>
          <w:footerReference r:id="rId18" w:type="default"/>
          <w:pgSz w:w="11906" w:h="16839"/>
          <w:pgMar w:top="1431" w:right="1785" w:bottom="1156" w:left="1785" w:header="0" w:footer="994" w:gutter="0"/>
          <w:cols w:space="720" w:num="1"/>
        </w:sectPr>
      </w:pPr>
    </w:p>
    <w:p w14:paraId="3C7706ED">
      <w:pPr>
        <w:spacing w:before="122"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576A14D2">
      <w:pPr>
        <w:spacing w:before="223" w:line="227" w:lineRule="auto"/>
        <w:ind w:left="1569"/>
        <w:outlineLvl w:val="1"/>
        <w:rPr>
          <w:rFonts w:ascii="仿宋" w:hAnsi="仿宋" w:eastAsia="仿宋" w:cs="仿宋"/>
          <w:sz w:val="30"/>
          <w:szCs w:val="30"/>
        </w:rPr>
      </w:pPr>
      <w:r>
        <w:rPr>
          <w:rFonts w:ascii="黑体" w:hAnsi="黑体" w:eastAsia="黑体" w:cs="黑体"/>
          <w:sz w:val="31"/>
          <w:szCs w:val="31"/>
        </w:rPr>
        <w:t>授权委托书</w:t>
      </w:r>
      <w:r>
        <w:rPr>
          <w:rFonts w:ascii="仿宋" w:hAnsi="仿宋" w:eastAsia="仿宋" w:cs="仿宋"/>
          <w:b/>
          <w:bCs/>
          <w:sz w:val="30"/>
          <w:szCs w:val="30"/>
        </w:rPr>
        <w:t>(适用于委托代理人</w:t>
      </w:r>
      <w:r>
        <w:rPr>
          <w:rFonts w:hint="eastAsia" w:ascii="仿宋" w:hAnsi="仿宋" w:eastAsia="仿宋" w:cs="仿宋"/>
          <w:b/>
          <w:bCs/>
          <w:sz w:val="30"/>
          <w:szCs w:val="30"/>
          <w:lang w:val="en-US" w:eastAsia="zh-CN"/>
        </w:rPr>
        <w:t>谈判</w:t>
      </w:r>
      <w:r>
        <w:rPr>
          <w:rFonts w:ascii="仿宋" w:hAnsi="仿宋" w:eastAsia="仿宋" w:cs="仿宋"/>
          <w:b/>
          <w:bCs/>
          <w:sz w:val="30"/>
          <w:szCs w:val="30"/>
        </w:rPr>
        <w:t>时)</w:t>
      </w:r>
    </w:p>
    <w:p w14:paraId="51000D7B">
      <w:pPr>
        <w:pStyle w:val="5"/>
        <w:spacing w:line="474" w:lineRule="auto"/>
      </w:pPr>
    </w:p>
    <w:p w14:paraId="40FED59B">
      <w:pPr>
        <w:spacing w:before="78" w:line="293" w:lineRule="auto"/>
        <w:ind w:left="24" w:firstLine="480"/>
        <w:jc w:val="both"/>
        <w:rPr>
          <w:rFonts w:ascii="宋体" w:hAnsi="宋体" w:eastAsia="宋体" w:cs="宋体"/>
          <w:sz w:val="24"/>
          <w:szCs w:val="24"/>
        </w:rPr>
      </w:pPr>
      <w:r>
        <w:rPr>
          <w:rFonts w:ascii="宋体" w:hAnsi="宋体" w:eastAsia="宋体" w:cs="宋体"/>
          <w:spacing w:val="-20"/>
          <w:sz w:val="24"/>
          <w:szCs w:val="24"/>
        </w:rPr>
        <w:t>本人</w:t>
      </w:r>
      <w:r>
        <w:rPr>
          <w:rFonts w:ascii="宋体" w:hAnsi="宋体" w:eastAsia="宋体" w:cs="宋体"/>
          <w:sz w:val="24"/>
          <w:szCs w:val="24"/>
          <w:u w:val="single" w:color="auto"/>
        </w:rPr>
        <w:t xml:space="preserve">       </w:t>
      </w:r>
      <w:r>
        <w:rPr>
          <w:rFonts w:ascii="宋体" w:hAnsi="宋体" w:eastAsia="宋体" w:cs="宋体"/>
          <w:spacing w:val="-20"/>
          <w:sz w:val="24"/>
          <w:szCs w:val="24"/>
        </w:rPr>
        <w:t>（姓名）系</w:t>
      </w:r>
      <w:r>
        <w:rPr>
          <w:rFonts w:ascii="宋体" w:hAnsi="宋体" w:eastAsia="宋体" w:cs="宋体"/>
          <w:spacing w:val="17"/>
          <w:sz w:val="24"/>
          <w:szCs w:val="24"/>
          <w:u w:val="single" w:color="auto"/>
        </w:rPr>
        <w:t xml:space="preserve">       </w:t>
      </w:r>
      <w:r>
        <w:rPr>
          <w:rFonts w:ascii="宋体" w:hAnsi="宋体" w:eastAsia="宋体" w:cs="宋体"/>
          <w:spacing w:val="-20"/>
          <w:sz w:val="24"/>
          <w:szCs w:val="24"/>
        </w:rPr>
        <w:t>（名称）的法定代表人，现</w:t>
      </w:r>
      <w:r>
        <w:rPr>
          <w:rFonts w:ascii="宋体" w:hAnsi="宋体" w:eastAsia="宋体" w:cs="宋体"/>
          <w:spacing w:val="-21"/>
          <w:sz w:val="24"/>
          <w:szCs w:val="24"/>
        </w:rPr>
        <w:t>委托</w:t>
      </w:r>
      <w:r>
        <w:rPr>
          <w:rFonts w:ascii="宋体" w:hAnsi="宋体" w:eastAsia="宋体" w:cs="宋体"/>
          <w:spacing w:val="17"/>
          <w:sz w:val="24"/>
          <w:szCs w:val="24"/>
          <w:u w:val="single" w:color="auto"/>
        </w:rPr>
        <w:t xml:space="preserve">       </w:t>
      </w:r>
      <w:r>
        <w:rPr>
          <w:rFonts w:ascii="宋体" w:hAnsi="宋体" w:eastAsia="宋体" w:cs="宋体"/>
          <w:spacing w:val="-21"/>
          <w:sz w:val="24"/>
          <w:szCs w:val="24"/>
        </w:rPr>
        <w:t>（姓</w:t>
      </w:r>
      <w:r>
        <w:rPr>
          <w:rFonts w:ascii="宋体" w:hAnsi="宋体" w:eastAsia="宋体" w:cs="宋体"/>
          <w:spacing w:val="1"/>
          <w:sz w:val="24"/>
          <w:szCs w:val="24"/>
        </w:rPr>
        <w:t xml:space="preserve"> </w:t>
      </w:r>
      <w:r>
        <w:rPr>
          <w:rFonts w:ascii="宋体" w:hAnsi="宋体" w:eastAsia="宋体" w:cs="宋体"/>
          <w:spacing w:val="-3"/>
          <w:sz w:val="24"/>
          <w:szCs w:val="24"/>
        </w:rPr>
        <w:t>名）为我方代理人。代理人根据授权，以我方名义签署、澄清、说明、补</w:t>
      </w:r>
      <w:r>
        <w:rPr>
          <w:rFonts w:ascii="宋体" w:hAnsi="宋体" w:eastAsia="宋体" w:cs="宋体"/>
          <w:spacing w:val="-4"/>
          <w:sz w:val="24"/>
          <w:szCs w:val="24"/>
        </w:rPr>
        <w:t>正、递</w:t>
      </w:r>
      <w:r>
        <w:rPr>
          <w:rFonts w:ascii="宋体" w:hAnsi="宋体" w:eastAsia="宋体" w:cs="宋体"/>
          <w:sz w:val="24"/>
          <w:szCs w:val="24"/>
        </w:rPr>
        <w:t xml:space="preserve"> </w:t>
      </w:r>
      <w:r>
        <w:rPr>
          <w:rFonts w:ascii="宋体" w:hAnsi="宋体" w:eastAsia="宋体" w:cs="宋体"/>
          <w:spacing w:val="-4"/>
          <w:sz w:val="24"/>
          <w:szCs w:val="24"/>
        </w:rPr>
        <w:t>交、撤回、修改</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（项目名称）响应文件、签订合同和处理有关事宜，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3056FD5">
      <w:pPr>
        <w:spacing w:before="35" w:line="286" w:lineRule="auto"/>
        <w:ind w:left="502" w:right="4927"/>
        <w:rPr>
          <w:rFonts w:ascii="宋体" w:hAnsi="宋体" w:eastAsia="宋体" w:cs="宋体"/>
          <w:sz w:val="24"/>
          <w:szCs w:val="24"/>
        </w:rPr>
      </w:pPr>
      <w:r>
        <w:rPr>
          <w:rFonts w:ascii="宋体" w:hAnsi="宋体" w:eastAsia="宋体" w:cs="宋体"/>
          <w:spacing w:val="-9"/>
          <w:sz w:val="24"/>
          <w:szCs w:val="24"/>
        </w:rPr>
        <w:t>委托期限：</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4"/>
          <w:sz w:val="24"/>
          <w:szCs w:val="24"/>
        </w:rPr>
        <w:t xml:space="preserve"> </w:t>
      </w:r>
      <w:r>
        <w:rPr>
          <w:rFonts w:ascii="宋体" w:hAnsi="宋体" w:eastAsia="宋体" w:cs="宋体"/>
          <w:spacing w:val="-1"/>
          <w:sz w:val="24"/>
          <w:szCs w:val="24"/>
        </w:rPr>
        <w:t>代理人无转委托权。</w:t>
      </w:r>
    </w:p>
    <w:p w14:paraId="72BC8DCF">
      <w:pPr>
        <w:spacing w:before="75" w:line="219" w:lineRule="auto"/>
        <w:ind w:left="522"/>
        <w:rPr>
          <w:rFonts w:ascii="宋体" w:hAnsi="宋体" w:eastAsia="宋体" w:cs="宋体"/>
          <w:sz w:val="24"/>
          <w:szCs w:val="24"/>
        </w:rPr>
      </w:pPr>
      <w:r>
        <w:rPr>
          <w:rFonts w:ascii="宋体" w:hAnsi="宋体" w:eastAsia="宋体" w:cs="宋体"/>
          <w:spacing w:val="2"/>
          <w:sz w:val="24"/>
          <w:szCs w:val="24"/>
        </w:rPr>
        <w:t>附</w:t>
      </w:r>
      <w:r>
        <w:rPr>
          <w:rFonts w:ascii="宋体" w:hAnsi="宋体" w:eastAsia="宋体" w:cs="宋体"/>
          <w:spacing w:val="-30"/>
          <w:sz w:val="24"/>
          <w:szCs w:val="24"/>
        </w:rPr>
        <w:t>：（</w:t>
      </w:r>
      <w:r>
        <w:rPr>
          <w:rFonts w:ascii="宋体" w:hAnsi="宋体" w:eastAsia="宋体" w:cs="宋体"/>
          <w:spacing w:val="2"/>
          <w:sz w:val="24"/>
          <w:szCs w:val="24"/>
        </w:rPr>
        <w:t>1）法定代表人身份证复印件。</w:t>
      </w:r>
    </w:p>
    <w:p w14:paraId="779DFA4A">
      <w:pPr>
        <w:spacing w:before="184" w:line="219" w:lineRule="auto"/>
        <w:ind w:left="874"/>
        <w:rPr>
          <w:rFonts w:ascii="宋体" w:hAnsi="宋体" w:eastAsia="宋体" w:cs="宋体"/>
          <w:sz w:val="24"/>
          <w:szCs w:val="24"/>
        </w:rPr>
      </w:pPr>
      <w:r>
        <w:rPr>
          <w:rFonts w:ascii="宋体" w:hAnsi="宋体" w:eastAsia="宋体" w:cs="宋体"/>
          <w:spacing w:val="-2"/>
          <w:sz w:val="24"/>
          <w:szCs w:val="24"/>
        </w:rPr>
        <w:t>（2）委托代理人身份证复印件。</w:t>
      </w:r>
    </w:p>
    <w:p w14:paraId="0E380AFB">
      <w:pPr>
        <w:spacing w:before="184" w:line="219" w:lineRule="auto"/>
        <w:ind w:left="874"/>
        <w:rPr>
          <w:rFonts w:ascii="宋体" w:hAnsi="宋体" w:eastAsia="宋体" w:cs="宋体"/>
          <w:sz w:val="24"/>
          <w:szCs w:val="24"/>
        </w:rPr>
      </w:pPr>
      <w:r>
        <w:rPr>
          <w:rFonts w:ascii="宋体" w:hAnsi="宋体" w:eastAsia="宋体" w:cs="宋体"/>
          <w:spacing w:val="-2"/>
          <w:sz w:val="24"/>
          <w:szCs w:val="24"/>
        </w:rPr>
        <w:t>（3）委托代理人社保证明。</w:t>
      </w:r>
    </w:p>
    <w:p w14:paraId="2AC9EBD2">
      <w:pPr>
        <w:pStyle w:val="5"/>
        <w:spacing w:line="280" w:lineRule="auto"/>
      </w:pPr>
    </w:p>
    <w:p w14:paraId="100FAC4E">
      <w:pPr>
        <w:pStyle w:val="5"/>
        <w:spacing w:line="280" w:lineRule="auto"/>
      </w:pPr>
    </w:p>
    <w:p w14:paraId="0BCCDFE5">
      <w:pPr>
        <w:pStyle w:val="5"/>
        <w:spacing w:line="280" w:lineRule="auto"/>
      </w:pPr>
    </w:p>
    <w:p w14:paraId="24E5E876">
      <w:pPr>
        <w:spacing w:before="78" w:line="219" w:lineRule="auto"/>
        <w:ind w:left="26"/>
        <w:rPr>
          <w:rFonts w:ascii="宋体" w:hAnsi="宋体" w:eastAsia="宋体" w:cs="宋体"/>
          <w:sz w:val="24"/>
          <w:szCs w:val="24"/>
        </w:rPr>
      </w:pPr>
      <w:r>
        <w:rPr>
          <w:rFonts w:hint="eastAsia" w:ascii="宋体" w:hAnsi="宋体" w:eastAsia="宋体" w:cs="宋体"/>
          <w:spacing w:val="2"/>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7C80B365">
      <w:pPr>
        <w:pStyle w:val="5"/>
        <w:spacing w:line="414" w:lineRule="auto"/>
      </w:pPr>
    </w:p>
    <w:p w14:paraId="09D40A9C">
      <w:pPr>
        <w:spacing w:before="79" w:line="219" w:lineRule="auto"/>
        <w:ind w:left="24"/>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签字并盖章）</w:t>
      </w:r>
    </w:p>
    <w:p w14:paraId="2A0E8E94">
      <w:pPr>
        <w:pStyle w:val="5"/>
        <w:spacing w:line="415" w:lineRule="auto"/>
      </w:pPr>
    </w:p>
    <w:p w14:paraId="40ED262D">
      <w:pPr>
        <w:spacing w:before="79"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2F971354">
      <w:pPr>
        <w:pStyle w:val="5"/>
        <w:spacing w:line="414" w:lineRule="auto"/>
      </w:pPr>
    </w:p>
    <w:p w14:paraId="4041468C">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A02A7D3">
      <w:pPr>
        <w:pStyle w:val="5"/>
        <w:spacing w:line="414" w:lineRule="auto"/>
      </w:pPr>
    </w:p>
    <w:p w14:paraId="4983EF21">
      <w:pPr>
        <w:spacing w:before="78"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1090CAA3">
      <w:pPr>
        <w:pStyle w:val="5"/>
        <w:spacing w:line="267" w:lineRule="auto"/>
      </w:pPr>
    </w:p>
    <w:p w14:paraId="0174916E">
      <w:pPr>
        <w:pStyle w:val="5"/>
        <w:spacing w:line="267" w:lineRule="auto"/>
      </w:pPr>
    </w:p>
    <w:p w14:paraId="7A5C7C29">
      <w:pPr>
        <w:pStyle w:val="5"/>
        <w:spacing w:line="267" w:lineRule="auto"/>
      </w:pPr>
    </w:p>
    <w:p w14:paraId="7D9AB3E0">
      <w:pPr>
        <w:tabs>
          <w:tab w:val="left" w:pos="3493"/>
        </w:tabs>
        <w:spacing w:before="78" w:line="219" w:lineRule="auto"/>
        <w:ind w:left="265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430532D3">
      <w:pPr>
        <w:spacing w:line="219" w:lineRule="auto"/>
        <w:rPr>
          <w:rFonts w:ascii="宋体" w:hAnsi="宋体" w:eastAsia="宋体" w:cs="宋体"/>
          <w:sz w:val="24"/>
          <w:szCs w:val="24"/>
        </w:rPr>
        <w:sectPr>
          <w:footerReference r:id="rId19" w:type="default"/>
          <w:pgSz w:w="11906" w:h="16839"/>
          <w:pgMar w:top="1431" w:right="1738" w:bottom="1156" w:left="1785" w:header="0" w:footer="994" w:gutter="0"/>
          <w:cols w:space="720" w:num="1"/>
        </w:sectPr>
      </w:pPr>
    </w:p>
    <w:p w14:paraId="3BCCACA6">
      <w:pPr>
        <w:pStyle w:val="5"/>
        <w:spacing w:line="273" w:lineRule="auto"/>
      </w:pPr>
    </w:p>
    <w:p w14:paraId="3816A0CD">
      <w:pPr>
        <w:pStyle w:val="5"/>
        <w:spacing w:line="273" w:lineRule="auto"/>
      </w:pPr>
    </w:p>
    <w:p w14:paraId="77EDF202">
      <w:pPr>
        <w:pStyle w:val="5"/>
        <w:spacing w:line="274" w:lineRule="auto"/>
      </w:pPr>
    </w:p>
    <w:p w14:paraId="30C04E22">
      <w:pPr>
        <w:spacing w:before="62" w:line="228" w:lineRule="auto"/>
        <w:ind w:left="119"/>
        <w:outlineLvl w:val="2"/>
        <w:rPr>
          <w:rFonts w:ascii="宋体" w:hAnsi="宋体" w:eastAsia="宋体" w:cs="宋体"/>
          <w:sz w:val="19"/>
          <w:szCs w:val="19"/>
        </w:rPr>
      </w:pPr>
      <w:r>
        <w:rPr>
          <w:rFonts w:ascii="宋体" w:hAnsi="宋体" w:eastAsia="宋体" w:cs="宋体"/>
          <w:b/>
          <w:bCs/>
          <w:spacing w:val="7"/>
          <w:sz w:val="19"/>
          <w:szCs w:val="19"/>
        </w:rPr>
        <w:t>4、资格审查资料</w:t>
      </w:r>
    </w:p>
    <w:p w14:paraId="09DFB388">
      <w:pPr>
        <w:spacing w:before="293" w:line="219" w:lineRule="auto"/>
        <w:ind w:left="121"/>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8"/>
          <w:sz w:val="24"/>
          <w:szCs w:val="24"/>
        </w:rPr>
        <w:t xml:space="preserve"> </w:t>
      </w:r>
      <w:r>
        <w:rPr>
          <w:rFonts w:ascii="宋体" w:hAnsi="宋体" w:eastAsia="宋体" w:cs="宋体"/>
          <w:spacing w:val="-2"/>
          <w:sz w:val="24"/>
          <w:szCs w:val="24"/>
        </w:rPr>
        <w:t>承揽方基本情况及证书复印件</w:t>
      </w:r>
    </w:p>
    <w:p w14:paraId="0DB39835">
      <w:pPr>
        <w:spacing w:before="183" w:line="219" w:lineRule="auto"/>
        <w:ind w:left="3794"/>
        <w:rPr>
          <w:rFonts w:ascii="宋体" w:hAnsi="宋体" w:eastAsia="宋体" w:cs="宋体"/>
          <w:sz w:val="24"/>
          <w:szCs w:val="24"/>
        </w:rPr>
      </w:pPr>
      <w:r>
        <w:rPr>
          <w:rFonts w:ascii="宋体" w:hAnsi="宋体" w:eastAsia="宋体" w:cs="宋体"/>
          <w:b/>
          <w:bCs/>
          <w:spacing w:val="-5"/>
          <w:sz w:val="24"/>
          <w:szCs w:val="24"/>
        </w:rPr>
        <w:t>基本情况</w:t>
      </w:r>
    </w:p>
    <w:p w14:paraId="0D31D41D">
      <w:pPr>
        <w:spacing w:line="68" w:lineRule="exact"/>
      </w:pPr>
    </w:p>
    <w:tbl>
      <w:tblPr>
        <w:tblStyle w:val="11"/>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416"/>
        <w:gridCol w:w="1429"/>
        <w:gridCol w:w="1327"/>
        <w:gridCol w:w="1146"/>
        <w:gridCol w:w="2338"/>
      </w:tblGrid>
      <w:tr w14:paraId="2579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Align w:val="top"/>
          </w:tcPr>
          <w:p w14:paraId="6EAF2EF4">
            <w:pPr>
              <w:pStyle w:val="12"/>
              <w:spacing w:before="120" w:line="219" w:lineRule="auto"/>
              <w:ind w:left="189"/>
            </w:pPr>
            <w:r>
              <w:rPr>
                <w:spacing w:val="-2"/>
              </w:rPr>
              <w:t>承揽方名称</w:t>
            </w:r>
          </w:p>
        </w:tc>
        <w:tc>
          <w:tcPr>
            <w:tcW w:w="7656" w:type="dxa"/>
            <w:gridSpan w:val="5"/>
            <w:vAlign w:val="top"/>
          </w:tcPr>
          <w:p w14:paraId="51DBCB08">
            <w:pPr>
              <w:rPr>
                <w:rFonts w:ascii="Arial"/>
                <w:sz w:val="21"/>
              </w:rPr>
            </w:pPr>
          </w:p>
        </w:tc>
      </w:tr>
      <w:tr w14:paraId="45E9C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64" w:type="dxa"/>
            <w:vAlign w:val="top"/>
          </w:tcPr>
          <w:p w14:paraId="5959E95D">
            <w:pPr>
              <w:pStyle w:val="12"/>
              <w:spacing w:before="115" w:line="205" w:lineRule="auto"/>
              <w:ind w:left="430"/>
            </w:pPr>
            <w:r>
              <w:rPr>
                <w:spacing w:val="-4"/>
              </w:rPr>
              <w:t>制造商</w:t>
            </w:r>
          </w:p>
        </w:tc>
        <w:tc>
          <w:tcPr>
            <w:tcW w:w="2845" w:type="dxa"/>
            <w:gridSpan w:val="2"/>
            <w:vAlign w:val="top"/>
          </w:tcPr>
          <w:p w14:paraId="4DD78861">
            <w:pPr>
              <w:rPr>
                <w:rFonts w:ascii="Arial"/>
                <w:sz w:val="21"/>
              </w:rPr>
            </w:pPr>
          </w:p>
        </w:tc>
        <w:tc>
          <w:tcPr>
            <w:tcW w:w="1327" w:type="dxa"/>
            <w:vAlign w:val="top"/>
          </w:tcPr>
          <w:p w14:paraId="77883122">
            <w:pPr>
              <w:pStyle w:val="12"/>
              <w:spacing w:before="115" w:line="205" w:lineRule="auto"/>
              <w:ind w:left="188"/>
            </w:pPr>
            <w:r>
              <w:rPr>
                <w:spacing w:val="-3"/>
              </w:rPr>
              <w:t>所属集团</w:t>
            </w:r>
          </w:p>
        </w:tc>
        <w:tc>
          <w:tcPr>
            <w:tcW w:w="3484" w:type="dxa"/>
            <w:gridSpan w:val="2"/>
            <w:vAlign w:val="top"/>
          </w:tcPr>
          <w:p w14:paraId="2ECF10C3">
            <w:pPr>
              <w:rPr>
                <w:rFonts w:ascii="Arial"/>
                <w:sz w:val="21"/>
              </w:rPr>
            </w:pPr>
          </w:p>
        </w:tc>
      </w:tr>
      <w:tr w14:paraId="4A504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0F9A902A">
            <w:pPr>
              <w:pStyle w:val="12"/>
              <w:spacing w:before="114" w:line="221" w:lineRule="auto"/>
              <w:ind w:left="309"/>
            </w:pPr>
            <w:r>
              <w:rPr>
                <w:spacing w:val="-3"/>
              </w:rPr>
              <w:t>注册地址</w:t>
            </w:r>
          </w:p>
        </w:tc>
        <w:tc>
          <w:tcPr>
            <w:tcW w:w="4172" w:type="dxa"/>
            <w:gridSpan w:val="3"/>
            <w:vAlign w:val="top"/>
          </w:tcPr>
          <w:p w14:paraId="12B16CE2">
            <w:pPr>
              <w:rPr>
                <w:rFonts w:ascii="Arial"/>
                <w:sz w:val="21"/>
              </w:rPr>
            </w:pPr>
          </w:p>
        </w:tc>
        <w:tc>
          <w:tcPr>
            <w:tcW w:w="1146" w:type="dxa"/>
            <w:vAlign w:val="top"/>
          </w:tcPr>
          <w:p w14:paraId="0CDE8C3A">
            <w:pPr>
              <w:pStyle w:val="12"/>
              <w:spacing w:before="115" w:line="219" w:lineRule="auto"/>
              <w:ind w:left="113"/>
            </w:pPr>
            <w:r>
              <w:rPr>
                <w:spacing w:val="-7"/>
              </w:rPr>
              <w:t>邮政编码</w:t>
            </w:r>
          </w:p>
        </w:tc>
        <w:tc>
          <w:tcPr>
            <w:tcW w:w="2338" w:type="dxa"/>
            <w:vAlign w:val="top"/>
          </w:tcPr>
          <w:p w14:paraId="53CB3397">
            <w:pPr>
              <w:rPr>
                <w:rFonts w:ascii="Arial"/>
                <w:sz w:val="21"/>
              </w:rPr>
            </w:pPr>
          </w:p>
        </w:tc>
      </w:tr>
      <w:tr w14:paraId="2E10A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64" w:type="dxa"/>
            <w:vAlign w:val="top"/>
          </w:tcPr>
          <w:p w14:paraId="766BD28A">
            <w:pPr>
              <w:pStyle w:val="12"/>
              <w:spacing w:before="38" w:line="342" w:lineRule="auto"/>
              <w:ind w:left="309" w:right="299" w:firstLine="121"/>
            </w:pPr>
            <w:r>
              <w:rPr>
                <w:spacing w:val="-4"/>
              </w:rPr>
              <w:t>成立或</w:t>
            </w:r>
            <w:r>
              <w:t xml:space="preserve">  </w:t>
            </w:r>
            <w:r>
              <w:rPr>
                <w:spacing w:val="-3"/>
              </w:rPr>
              <w:t>注册时间</w:t>
            </w:r>
          </w:p>
        </w:tc>
        <w:tc>
          <w:tcPr>
            <w:tcW w:w="4172" w:type="dxa"/>
            <w:gridSpan w:val="3"/>
            <w:vAlign w:val="top"/>
          </w:tcPr>
          <w:p w14:paraId="19108C44">
            <w:pPr>
              <w:rPr>
                <w:rFonts w:ascii="Arial"/>
                <w:sz w:val="21"/>
              </w:rPr>
            </w:pPr>
          </w:p>
        </w:tc>
        <w:tc>
          <w:tcPr>
            <w:tcW w:w="1146" w:type="dxa"/>
            <w:vAlign w:val="top"/>
          </w:tcPr>
          <w:p w14:paraId="329F9898">
            <w:pPr>
              <w:spacing w:line="267" w:lineRule="auto"/>
              <w:rPr>
                <w:rFonts w:ascii="Arial"/>
                <w:sz w:val="21"/>
              </w:rPr>
            </w:pPr>
          </w:p>
          <w:p w14:paraId="63C89400">
            <w:pPr>
              <w:pStyle w:val="12"/>
              <w:spacing w:before="78" w:line="221" w:lineRule="auto"/>
              <w:ind w:left="95"/>
            </w:pPr>
            <w:r>
              <w:rPr>
                <w:spacing w:val="-3"/>
              </w:rPr>
              <w:t>注册资金</w:t>
            </w:r>
          </w:p>
        </w:tc>
        <w:tc>
          <w:tcPr>
            <w:tcW w:w="2338" w:type="dxa"/>
            <w:vAlign w:val="top"/>
          </w:tcPr>
          <w:p w14:paraId="2681939B">
            <w:pPr>
              <w:rPr>
                <w:rFonts w:ascii="Arial"/>
                <w:sz w:val="21"/>
              </w:rPr>
            </w:pPr>
          </w:p>
        </w:tc>
      </w:tr>
      <w:tr w14:paraId="6F9DB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tcBorders>
              <w:bottom w:val="single" w:color="auto" w:sz="4" w:space="0"/>
            </w:tcBorders>
            <w:vAlign w:val="top"/>
          </w:tcPr>
          <w:p w14:paraId="7AC40D8A">
            <w:pPr>
              <w:pStyle w:val="12"/>
              <w:spacing w:before="115" w:line="219" w:lineRule="auto"/>
              <w:ind w:left="191"/>
            </w:pPr>
            <w:r>
              <w:rPr>
                <w:spacing w:val="-3"/>
              </w:rPr>
              <w:t>主要负责人</w:t>
            </w:r>
          </w:p>
        </w:tc>
        <w:tc>
          <w:tcPr>
            <w:tcW w:w="4172" w:type="dxa"/>
            <w:gridSpan w:val="3"/>
            <w:tcBorders>
              <w:bottom w:val="single" w:color="auto" w:sz="4" w:space="0"/>
            </w:tcBorders>
            <w:vAlign w:val="top"/>
          </w:tcPr>
          <w:p w14:paraId="1245DF7E">
            <w:pPr>
              <w:rPr>
                <w:rFonts w:ascii="Arial"/>
                <w:sz w:val="21"/>
              </w:rPr>
            </w:pPr>
          </w:p>
        </w:tc>
        <w:tc>
          <w:tcPr>
            <w:tcW w:w="1146" w:type="dxa"/>
            <w:tcBorders>
              <w:bottom w:val="single" w:color="auto" w:sz="4" w:space="0"/>
            </w:tcBorders>
            <w:vAlign w:val="top"/>
          </w:tcPr>
          <w:p w14:paraId="5B278660">
            <w:pPr>
              <w:pStyle w:val="12"/>
              <w:spacing w:before="115" w:line="221" w:lineRule="auto"/>
              <w:ind w:left="363"/>
            </w:pPr>
            <w:r>
              <w:rPr>
                <w:spacing w:val="-19"/>
              </w:rPr>
              <w:t>电话</w:t>
            </w:r>
          </w:p>
        </w:tc>
        <w:tc>
          <w:tcPr>
            <w:tcW w:w="2338" w:type="dxa"/>
            <w:tcBorders>
              <w:bottom w:val="single" w:color="auto" w:sz="4" w:space="0"/>
            </w:tcBorders>
            <w:vAlign w:val="top"/>
          </w:tcPr>
          <w:p w14:paraId="5C8FF53B">
            <w:pPr>
              <w:rPr>
                <w:rFonts w:ascii="Arial"/>
                <w:sz w:val="21"/>
              </w:rPr>
            </w:pPr>
          </w:p>
        </w:tc>
      </w:tr>
      <w:tr w14:paraId="22805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top w:val="single" w:color="auto" w:sz="4" w:space="0"/>
              <w:left w:val="single" w:color="auto" w:sz="4" w:space="0"/>
              <w:bottom w:val="nil"/>
            </w:tcBorders>
            <w:vAlign w:val="top"/>
          </w:tcPr>
          <w:p w14:paraId="12EF33E7">
            <w:pPr>
              <w:spacing w:line="274" w:lineRule="auto"/>
              <w:rPr>
                <w:rFonts w:ascii="Arial"/>
                <w:sz w:val="21"/>
              </w:rPr>
            </w:pPr>
          </w:p>
          <w:p w14:paraId="27023CFC">
            <w:pPr>
              <w:pStyle w:val="12"/>
              <w:spacing w:before="78" w:line="221" w:lineRule="auto"/>
              <w:ind w:left="310"/>
            </w:pPr>
            <w:r>
              <w:rPr>
                <w:spacing w:val="-3"/>
              </w:rPr>
              <w:t>联系方式</w:t>
            </w:r>
          </w:p>
        </w:tc>
        <w:tc>
          <w:tcPr>
            <w:tcW w:w="1416" w:type="dxa"/>
            <w:tcBorders>
              <w:top w:val="single" w:color="auto" w:sz="4" w:space="0"/>
            </w:tcBorders>
            <w:vAlign w:val="top"/>
          </w:tcPr>
          <w:p w14:paraId="16929BFD">
            <w:pPr>
              <w:pStyle w:val="12"/>
              <w:spacing w:before="117" w:line="221" w:lineRule="auto"/>
              <w:ind w:left="354"/>
            </w:pPr>
            <w:r>
              <w:rPr>
                <w:spacing w:val="-4"/>
              </w:rPr>
              <w:t>联系人</w:t>
            </w:r>
          </w:p>
        </w:tc>
        <w:tc>
          <w:tcPr>
            <w:tcW w:w="2756" w:type="dxa"/>
            <w:gridSpan w:val="2"/>
            <w:tcBorders>
              <w:top w:val="single" w:color="auto" w:sz="4" w:space="0"/>
            </w:tcBorders>
            <w:vAlign w:val="top"/>
          </w:tcPr>
          <w:p w14:paraId="575E5A51">
            <w:pPr>
              <w:rPr>
                <w:rFonts w:ascii="Arial"/>
                <w:sz w:val="21"/>
              </w:rPr>
            </w:pPr>
          </w:p>
        </w:tc>
        <w:tc>
          <w:tcPr>
            <w:tcW w:w="1146" w:type="dxa"/>
            <w:tcBorders>
              <w:top w:val="single" w:color="auto" w:sz="4" w:space="0"/>
            </w:tcBorders>
            <w:vAlign w:val="top"/>
          </w:tcPr>
          <w:p w14:paraId="5603E1DC">
            <w:pPr>
              <w:pStyle w:val="12"/>
              <w:spacing w:before="117" w:line="221" w:lineRule="auto"/>
              <w:ind w:left="363"/>
            </w:pPr>
            <w:r>
              <w:rPr>
                <w:spacing w:val="-19"/>
              </w:rPr>
              <w:t>电话</w:t>
            </w:r>
          </w:p>
        </w:tc>
        <w:tc>
          <w:tcPr>
            <w:tcW w:w="2338" w:type="dxa"/>
            <w:tcBorders>
              <w:top w:val="single" w:color="auto" w:sz="4" w:space="0"/>
              <w:right w:val="single" w:color="auto" w:sz="4" w:space="0"/>
            </w:tcBorders>
            <w:vAlign w:val="top"/>
          </w:tcPr>
          <w:p w14:paraId="5FB80DA9">
            <w:pPr>
              <w:rPr>
                <w:rFonts w:ascii="Arial"/>
                <w:sz w:val="21"/>
              </w:rPr>
            </w:pPr>
          </w:p>
        </w:tc>
      </w:tr>
      <w:tr w14:paraId="2660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left w:val="single" w:color="auto" w:sz="4" w:space="0"/>
              <w:bottom w:val="single" w:color="auto" w:sz="4" w:space="0"/>
            </w:tcBorders>
            <w:vAlign w:val="top"/>
          </w:tcPr>
          <w:p w14:paraId="6BA29A77">
            <w:pPr>
              <w:rPr>
                <w:rFonts w:ascii="Arial"/>
                <w:sz w:val="21"/>
              </w:rPr>
            </w:pPr>
          </w:p>
        </w:tc>
        <w:tc>
          <w:tcPr>
            <w:tcW w:w="1416" w:type="dxa"/>
            <w:tcBorders>
              <w:bottom w:val="single" w:color="auto" w:sz="4" w:space="0"/>
            </w:tcBorders>
            <w:vAlign w:val="top"/>
          </w:tcPr>
          <w:p w14:paraId="647A52B2">
            <w:pPr>
              <w:pStyle w:val="12"/>
              <w:spacing w:before="115" w:line="219" w:lineRule="auto"/>
              <w:ind w:left="351"/>
            </w:pPr>
            <w:r>
              <w:rPr>
                <w:spacing w:val="-4"/>
              </w:rPr>
              <w:t>传</w:t>
            </w:r>
            <w:r>
              <w:rPr>
                <w:spacing w:val="6"/>
              </w:rPr>
              <w:t xml:space="preserve">  </w:t>
            </w:r>
            <w:r>
              <w:rPr>
                <w:spacing w:val="-4"/>
              </w:rPr>
              <w:t>真</w:t>
            </w:r>
          </w:p>
        </w:tc>
        <w:tc>
          <w:tcPr>
            <w:tcW w:w="2756" w:type="dxa"/>
            <w:gridSpan w:val="2"/>
            <w:tcBorders>
              <w:bottom w:val="single" w:color="auto" w:sz="4" w:space="0"/>
            </w:tcBorders>
            <w:vAlign w:val="top"/>
          </w:tcPr>
          <w:p w14:paraId="1D7A7F1E">
            <w:pPr>
              <w:rPr>
                <w:rFonts w:ascii="Arial"/>
                <w:sz w:val="21"/>
              </w:rPr>
            </w:pPr>
          </w:p>
        </w:tc>
        <w:tc>
          <w:tcPr>
            <w:tcW w:w="1146" w:type="dxa"/>
            <w:tcBorders>
              <w:bottom w:val="single" w:color="auto" w:sz="4" w:space="0"/>
            </w:tcBorders>
            <w:vAlign w:val="top"/>
          </w:tcPr>
          <w:p w14:paraId="2BEF6EF0">
            <w:pPr>
              <w:pStyle w:val="12"/>
              <w:spacing w:before="116" w:line="220" w:lineRule="auto"/>
              <w:ind w:left="123"/>
            </w:pPr>
            <w:r>
              <w:rPr>
                <w:spacing w:val="-10"/>
              </w:rPr>
              <w:t>电子邮箱</w:t>
            </w:r>
          </w:p>
        </w:tc>
        <w:tc>
          <w:tcPr>
            <w:tcW w:w="2338" w:type="dxa"/>
            <w:tcBorders>
              <w:bottom w:val="single" w:color="auto" w:sz="4" w:space="0"/>
              <w:right w:val="single" w:color="auto" w:sz="4" w:space="0"/>
            </w:tcBorders>
            <w:vAlign w:val="top"/>
          </w:tcPr>
          <w:p w14:paraId="4971E7A0">
            <w:pPr>
              <w:rPr>
                <w:rFonts w:ascii="Arial"/>
                <w:sz w:val="21"/>
              </w:rPr>
            </w:pPr>
          </w:p>
        </w:tc>
      </w:tr>
      <w:tr w14:paraId="75A2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20" w:type="dxa"/>
            <w:gridSpan w:val="6"/>
            <w:tcBorders>
              <w:top w:val="single" w:color="auto" w:sz="4" w:space="0"/>
            </w:tcBorders>
            <w:vAlign w:val="top"/>
          </w:tcPr>
          <w:p w14:paraId="268B4D5A">
            <w:pPr>
              <w:rPr>
                <w:rFonts w:hint="default" w:ascii="Arial" w:eastAsia="宋体"/>
                <w:sz w:val="21"/>
                <w:lang w:val="en-US" w:eastAsia="zh-CN"/>
              </w:rPr>
            </w:pPr>
            <w:r>
              <w:rPr>
                <w:rFonts w:hint="eastAsia" w:eastAsia="宋体"/>
                <w:sz w:val="21"/>
                <w:lang w:val="en-US" w:eastAsia="zh-CN"/>
              </w:rPr>
              <w:t>经营范围：</w:t>
            </w:r>
          </w:p>
        </w:tc>
      </w:tr>
    </w:tbl>
    <w:p w14:paraId="54960B04">
      <w:pPr>
        <w:spacing w:before="115" w:line="219" w:lineRule="auto"/>
        <w:ind w:left="602"/>
        <w:rPr>
          <w:rFonts w:ascii="宋体" w:hAnsi="宋体" w:eastAsia="宋体" w:cs="宋体"/>
          <w:sz w:val="24"/>
          <w:szCs w:val="24"/>
        </w:rPr>
      </w:pPr>
      <w:r>
        <w:rPr>
          <w:rFonts w:ascii="宋体" w:hAnsi="宋体" w:eastAsia="宋体" w:cs="宋体"/>
          <w:spacing w:val="-1"/>
          <w:sz w:val="24"/>
          <w:szCs w:val="24"/>
        </w:rPr>
        <w:t>注：本表可增加并扩展。</w:t>
      </w:r>
    </w:p>
    <w:p w14:paraId="34A0A225">
      <w:pPr>
        <w:spacing w:before="185" w:line="346" w:lineRule="auto"/>
        <w:ind w:left="122" w:right="806" w:firstLine="498"/>
        <w:rPr>
          <w:rFonts w:ascii="宋体" w:hAnsi="宋体" w:eastAsia="宋体" w:cs="宋体"/>
          <w:sz w:val="24"/>
          <w:szCs w:val="24"/>
        </w:rPr>
      </w:pPr>
      <w:r>
        <w:rPr>
          <w:rFonts w:ascii="宋体" w:hAnsi="宋体" w:eastAsia="宋体" w:cs="宋体"/>
          <w:spacing w:val="-4"/>
          <w:sz w:val="24"/>
          <w:szCs w:val="24"/>
        </w:rPr>
        <w:t>附：包括但不限于：营业执照、资质证书、体系认证、资信等级、人员资格</w:t>
      </w:r>
      <w:r>
        <w:rPr>
          <w:rFonts w:ascii="宋体" w:hAnsi="宋体" w:eastAsia="宋体" w:cs="宋体"/>
          <w:spacing w:val="9"/>
          <w:sz w:val="24"/>
          <w:szCs w:val="24"/>
        </w:rPr>
        <w:t xml:space="preserve"> </w:t>
      </w:r>
      <w:r>
        <w:rPr>
          <w:rFonts w:ascii="宋体" w:hAnsi="宋体" w:eastAsia="宋体" w:cs="宋体"/>
          <w:spacing w:val="-1"/>
          <w:sz w:val="24"/>
          <w:szCs w:val="24"/>
        </w:rPr>
        <w:t>证书、业绩合同、获奖证书等的复印件，加盖公章。</w:t>
      </w:r>
    </w:p>
    <w:p w14:paraId="174174DA">
      <w:pPr>
        <w:spacing w:line="346" w:lineRule="auto"/>
        <w:rPr>
          <w:rFonts w:ascii="宋体" w:hAnsi="宋体" w:eastAsia="宋体" w:cs="宋体"/>
          <w:sz w:val="24"/>
          <w:szCs w:val="24"/>
        </w:rPr>
        <w:sectPr>
          <w:footerReference r:id="rId20" w:type="default"/>
          <w:pgSz w:w="11906" w:h="16839"/>
          <w:pgMar w:top="1431" w:right="993" w:bottom="1156" w:left="1687" w:header="0" w:footer="994" w:gutter="0"/>
          <w:cols w:space="720" w:num="1"/>
        </w:sectPr>
      </w:pPr>
    </w:p>
    <w:p w14:paraId="1FDA3FD4">
      <w:pPr>
        <w:pStyle w:val="5"/>
        <w:spacing w:line="474" w:lineRule="auto"/>
      </w:pPr>
    </w:p>
    <w:p w14:paraId="79F8665F">
      <w:pPr>
        <w:spacing w:before="78" w:line="219" w:lineRule="auto"/>
        <w:ind w:left="121"/>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40"/>
          <w:sz w:val="24"/>
          <w:szCs w:val="24"/>
        </w:rPr>
        <w:t xml:space="preserve"> </w:t>
      </w:r>
      <w:r>
        <w:rPr>
          <w:rFonts w:ascii="宋体" w:hAnsi="宋体" w:eastAsia="宋体" w:cs="宋体"/>
          <w:spacing w:val="-2"/>
          <w:sz w:val="24"/>
          <w:szCs w:val="24"/>
        </w:rPr>
        <w:t>符合资格条件的业绩汇总表</w:t>
      </w:r>
    </w:p>
    <w:p w14:paraId="750F35E0">
      <w:pPr>
        <w:spacing w:line="68" w:lineRule="exact"/>
      </w:pPr>
    </w:p>
    <w:tbl>
      <w:tblPr>
        <w:tblStyle w:val="11"/>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035"/>
        <w:gridCol w:w="3051"/>
        <w:gridCol w:w="1275"/>
        <w:gridCol w:w="1705"/>
      </w:tblGrid>
      <w:tr w14:paraId="06E5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5" w:type="dxa"/>
            <w:vAlign w:val="top"/>
          </w:tcPr>
          <w:p w14:paraId="509C25BA">
            <w:pPr>
              <w:spacing w:line="273" w:lineRule="auto"/>
              <w:rPr>
                <w:rFonts w:ascii="Arial"/>
                <w:sz w:val="21"/>
              </w:rPr>
            </w:pPr>
          </w:p>
          <w:p w14:paraId="5E1B371D">
            <w:pPr>
              <w:pStyle w:val="12"/>
              <w:spacing w:before="78" w:line="221" w:lineRule="auto"/>
              <w:ind w:left="183"/>
            </w:pPr>
            <w:r>
              <w:rPr>
                <w:spacing w:val="-5"/>
              </w:rPr>
              <w:t>序号</w:t>
            </w:r>
          </w:p>
        </w:tc>
        <w:tc>
          <w:tcPr>
            <w:tcW w:w="2035" w:type="dxa"/>
            <w:vAlign w:val="top"/>
          </w:tcPr>
          <w:p w14:paraId="290660D2">
            <w:pPr>
              <w:spacing w:line="274" w:lineRule="auto"/>
              <w:rPr>
                <w:rFonts w:ascii="Arial"/>
                <w:sz w:val="21"/>
              </w:rPr>
            </w:pPr>
          </w:p>
          <w:p w14:paraId="0471AEFE">
            <w:pPr>
              <w:pStyle w:val="12"/>
              <w:spacing w:before="78" w:line="220" w:lineRule="auto"/>
              <w:ind w:left="306"/>
            </w:pPr>
            <w:r>
              <w:rPr>
                <w:spacing w:val="-3"/>
              </w:rPr>
              <w:t>项目业主名称</w:t>
            </w:r>
          </w:p>
        </w:tc>
        <w:tc>
          <w:tcPr>
            <w:tcW w:w="3051" w:type="dxa"/>
            <w:vAlign w:val="top"/>
          </w:tcPr>
          <w:p w14:paraId="11A77346">
            <w:pPr>
              <w:spacing w:line="274" w:lineRule="auto"/>
              <w:rPr>
                <w:rFonts w:ascii="Arial"/>
                <w:sz w:val="21"/>
              </w:rPr>
            </w:pPr>
          </w:p>
          <w:p w14:paraId="338FD3B4">
            <w:pPr>
              <w:pStyle w:val="12"/>
              <w:spacing w:before="78" w:line="219" w:lineRule="auto"/>
              <w:ind w:left="1052"/>
            </w:pPr>
            <w:r>
              <w:rPr>
                <w:spacing w:val="-3"/>
              </w:rPr>
              <w:t>规格型号</w:t>
            </w:r>
          </w:p>
        </w:tc>
        <w:tc>
          <w:tcPr>
            <w:tcW w:w="1275" w:type="dxa"/>
            <w:vAlign w:val="top"/>
          </w:tcPr>
          <w:p w14:paraId="6394CAA3">
            <w:pPr>
              <w:pStyle w:val="12"/>
              <w:spacing w:before="118" w:line="314" w:lineRule="auto"/>
              <w:ind w:left="296" w:right="295" w:firstLine="110"/>
            </w:pPr>
            <w:r>
              <w:rPr>
                <w:spacing w:val="-6"/>
              </w:rPr>
              <w:t>数量</w:t>
            </w:r>
            <w:r>
              <w:t xml:space="preserve"> </w:t>
            </w:r>
            <w:r>
              <w:rPr>
                <w:spacing w:val="-14"/>
              </w:rPr>
              <w:t>（台）</w:t>
            </w:r>
          </w:p>
        </w:tc>
        <w:tc>
          <w:tcPr>
            <w:tcW w:w="1705" w:type="dxa"/>
            <w:vAlign w:val="top"/>
          </w:tcPr>
          <w:p w14:paraId="4B9F5A48">
            <w:pPr>
              <w:pStyle w:val="12"/>
              <w:spacing w:before="118" w:line="314" w:lineRule="auto"/>
              <w:ind w:left="388" w:right="371" w:hanging="11"/>
            </w:pPr>
            <w:r>
              <w:rPr>
                <w:spacing w:val="-3"/>
              </w:rPr>
              <w:t>签订日期</w:t>
            </w:r>
            <w:r>
              <w:rPr>
                <w:spacing w:val="1"/>
              </w:rPr>
              <w:t xml:space="preserve"> </w:t>
            </w:r>
            <w:r>
              <w:rPr>
                <w:spacing w:val="-6"/>
              </w:rPr>
              <w:t>（年月）</w:t>
            </w:r>
          </w:p>
        </w:tc>
      </w:tr>
      <w:tr w14:paraId="19F2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39C84D68">
            <w:pPr>
              <w:spacing w:line="361" w:lineRule="auto"/>
              <w:rPr>
                <w:rFonts w:ascii="Arial"/>
                <w:sz w:val="21"/>
              </w:rPr>
            </w:pPr>
          </w:p>
          <w:p w14:paraId="2B0DB853">
            <w:pPr>
              <w:pStyle w:val="12"/>
              <w:spacing w:before="78" w:line="184" w:lineRule="auto"/>
              <w:ind w:left="382"/>
            </w:pPr>
            <w:r>
              <w:t>1</w:t>
            </w:r>
          </w:p>
        </w:tc>
        <w:tc>
          <w:tcPr>
            <w:tcW w:w="2035" w:type="dxa"/>
            <w:vAlign w:val="top"/>
          </w:tcPr>
          <w:p w14:paraId="7F66778B">
            <w:pPr>
              <w:rPr>
                <w:rFonts w:ascii="Arial"/>
                <w:sz w:val="21"/>
              </w:rPr>
            </w:pPr>
          </w:p>
        </w:tc>
        <w:tc>
          <w:tcPr>
            <w:tcW w:w="3051" w:type="dxa"/>
            <w:vAlign w:val="top"/>
          </w:tcPr>
          <w:p w14:paraId="4E6E22C9">
            <w:pPr>
              <w:rPr>
                <w:rFonts w:ascii="Arial"/>
                <w:sz w:val="21"/>
              </w:rPr>
            </w:pPr>
          </w:p>
        </w:tc>
        <w:tc>
          <w:tcPr>
            <w:tcW w:w="1275" w:type="dxa"/>
            <w:vAlign w:val="top"/>
          </w:tcPr>
          <w:p w14:paraId="305CB54B">
            <w:pPr>
              <w:rPr>
                <w:rFonts w:ascii="Arial"/>
                <w:sz w:val="21"/>
              </w:rPr>
            </w:pPr>
          </w:p>
        </w:tc>
        <w:tc>
          <w:tcPr>
            <w:tcW w:w="1705" w:type="dxa"/>
            <w:vAlign w:val="top"/>
          </w:tcPr>
          <w:p w14:paraId="3EE854CB">
            <w:pPr>
              <w:rPr>
                <w:rFonts w:ascii="Arial"/>
                <w:sz w:val="21"/>
              </w:rPr>
            </w:pPr>
          </w:p>
        </w:tc>
      </w:tr>
      <w:tr w14:paraId="52E9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056ED348">
            <w:pPr>
              <w:spacing w:line="362" w:lineRule="auto"/>
              <w:rPr>
                <w:rFonts w:ascii="Arial"/>
                <w:sz w:val="21"/>
              </w:rPr>
            </w:pPr>
          </w:p>
          <w:p w14:paraId="282F6795">
            <w:pPr>
              <w:pStyle w:val="12"/>
              <w:spacing w:before="78" w:line="183" w:lineRule="auto"/>
              <w:ind w:left="367"/>
            </w:pPr>
            <w:r>
              <w:t>2</w:t>
            </w:r>
          </w:p>
        </w:tc>
        <w:tc>
          <w:tcPr>
            <w:tcW w:w="2035" w:type="dxa"/>
            <w:vAlign w:val="top"/>
          </w:tcPr>
          <w:p w14:paraId="25F155D6">
            <w:pPr>
              <w:rPr>
                <w:rFonts w:ascii="Arial"/>
                <w:sz w:val="21"/>
              </w:rPr>
            </w:pPr>
          </w:p>
        </w:tc>
        <w:tc>
          <w:tcPr>
            <w:tcW w:w="3051" w:type="dxa"/>
            <w:vAlign w:val="top"/>
          </w:tcPr>
          <w:p w14:paraId="47419778">
            <w:pPr>
              <w:rPr>
                <w:rFonts w:ascii="Arial"/>
                <w:sz w:val="21"/>
              </w:rPr>
            </w:pPr>
          </w:p>
        </w:tc>
        <w:tc>
          <w:tcPr>
            <w:tcW w:w="1275" w:type="dxa"/>
            <w:vAlign w:val="top"/>
          </w:tcPr>
          <w:p w14:paraId="0CD9E8FC">
            <w:pPr>
              <w:rPr>
                <w:rFonts w:ascii="Arial"/>
                <w:sz w:val="21"/>
              </w:rPr>
            </w:pPr>
          </w:p>
        </w:tc>
        <w:tc>
          <w:tcPr>
            <w:tcW w:w="1705" w:type="dxa"/>
            <w:vAlign w:val="top"/>
          </w:tcPr>
          <w:p w14:paraId="327D2544">
            <w:pPr>
              <w:rPr>
                <w:rFonts w:ascii="Arial"/>
                <w:sz w:val="21"/>
              </w:rPr>
            </w:pPr>
          </w:p>
        </w:tc>
      </w:tr>
      <w:tr w14:paraId="54A9F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1DB8AA28">
            <w:pPr>
              <w:spacing w:line="362" w:lineRule="auto"/>
              <w:rPr>
                <w:rFonts w:ascii="Arial"/>
                <w:sz w:val="21"/>
              </w:rPr>
            </w:pPr>
          </w:p>
          <w:p w14:paraId="4034F7DF">
            <w:pPr>
              <w:pStyle w:val="12"/>
              <w:spacing w:before="78" w:line="183" w:lineRule="auto"/>
              <w:ind w:left="369"/>
            </w:pPr>
            <w:r>
              <w:t>3</w:t>
            </w:r>
          </w:p>
        </w:tc>
        <w:tc>
          <w:tcPr>
            <w:tcW w:w="2035" w:type="dxa"/>
            <w:vAlign w:val="top"/>
          </w:tcPr>
          <w:p w14:paraId="1D000EA8">
            <w:pPr>
              <w:rPr>
                <w:rFonts w:ascii="Arial"/>
                <w:sz w:val="21"/>
              </w:rPr>
            </w:pPr>
          </w:p>
        </w:tc>
        <w:tc>
          <w:tcPr>
            <w:tcW w:w="3051" w:type="dxa"/>
            <w:vAlign w:val="top"/>
          </w:tcPr>
          <w:p w14:paraId="73304BE7">
            <w:pPr>
              <w:rPr>
                <w:rFonts w:ascii="Arial"/>
                <w:sz w:val="21"/>
              </w:rPr>
            </w:pPr>
          </w:p>
        </w:tc>
        <w:tc>
          <w:tcPr>
            <w:tcW w:w="1275" w:type="dxa"/>
            <w:vAlign w:val="top"/>
          </w:tcPr>
          <w:p w14:paraId="279A47D7">
            <w:pPr>
              <w:rPr>
                <w:rFonts w:ascii="Arial"/>
                <w:sz w:val="21"/>
              </w:rPr>
            </w:pPr>
          </w:p>
        </w:tc>
        <w:tc>
          <w:tcPr>
            <w:tcW w:w="1705" w:type="dxa"/>
            <w:vAlign w:val="top"/>
          </w:tcPr>
          <w:p w14:paraId="2F5959AA">
            <w:pPr>
              <w:rPr>
                <w:rFonts w:ascii="Arial"/>
                <w:sz w:val="21"/>
              </w:rPr>
            </w:pPr>
          </w:p>
        </w:tc>
      </w:tr>
      <w:tr w14:paraId="0D80C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835" w:type="dxa"/>
            <w:vAlign w:val="top"/>
          </w:tcPr>
          <w:p w14:paraId="318ACCDB">
            <w:pPr>
              <w:spacing w:line="327" w:lineRule="auto"/>
              <w:rPr>
                <w:rFonts w:ascii="Arial"/>
                <w:sz w:val="21"/>
              </w:rPr>
            </w:pPr>
          </w:p>
          <w:p w14:paraId="2468E5BA">
            <w:pPr>
              <w:pStyle w:val="12"/>
              <w:spacing w:before="78" w:line="377" w:lineRule="exact"/>
              <w:ind w:left="199"/>
            </w:pPr>
            <w:r>
              <w:rPr>
                <w:spacing w:val="-13"/>
                <w:position w:val="3"/>
              </w:rPr>
              <w:t>……</w:t>
            </w:r>
          </w:p>
        </w:tc>
        <w:tc>
          <w:tcPr>
            <w:tcW w:w="2035" w:type="dxa"/>
            <w:vAlign w:val="top"/>
          </w:tcPr>
          <w:p w14:paraId="666E0945">
            <w:pPr>
              <w:rPr>
                <w:rFonts w:ascii="Arial"/>
                <w:sz w:val="21"/>
              </w:rPr>
            </w:pPr>
          </w:p>
        </w:tc>
        <w:tc>
          <w:tcPr>
            <w:tcW w:w="3051" w:type="dxa"/>
            <w:vAlign w:val="top"/>
          </w:tcPr>
          <w:p w14:paraId="1A13FED5">
            <w:pPr>
              <w:rPr>
                <w:rFonts w:ascii="Arial"/>
                <w:sz w:val="21"/>
              </w:rPr>
            </w:pPr>
          </w:p>
        </w:tc>
        <w:tc>
          <w:tcPr>
            <w:tcW w:w="1275" w:type="dxa"/>
            <w:vAlign w:val="top"/>
          </w:tcPr>
          <w:p w14:paraId="27CF71DD">
            <w:pPr>
              <w:rPr>
                <w:rFonts w:ascii="Arial"/>
                <w:sz w:val="21"/>
              </w:rPr>
            </w:pPr>
          </w:p>
        </w:tc>
        <w:tc>
          <w:tcPr>
            <w:tcW w:w="1705" w:type="dxa"/>
            <w:vAlign w:val="top"/>
          </w:tcPr>
          <w:p w14:paraId="51C4A391">
            <w:pPr>
              <w:rPr>
                <w:rFonts w:ascii="Arial"/>
                <w:sz w:val="21"/>
              </w:rPr>
            </w:pPr>
          </w:p>
        </w:tc>
      </w:tr>
    </w:tbl>
    <w:p w14:paraId="690BFEBB">
      <w:pPr>
        <w:pStyle w:val="5"/>
        <w:spacing w:line="250" w:lineRule="auto"/>
      </w:pPr>
    </w:p>
    <w:p w14:paraId="356A33D4">
      <w:pPr>
        <w:pStyle w:val="5"/>
        <w:spacing w:line="251" w:lineRule="auto"/>
      </w:pPr>
    </w:p>
    <w:p w14:paraId="5DA195FB">
      <w:pPr>
        <w:spacing w:before="78" w:line="219" w:lineRule="auto"/>
        <w:ind w:left="602"/>
        <w:rPr>
          <w:rFonts w:ascii="宋体" w:hAnsi="宋体" w:eastAsia="宋体" w:cs="宋体"/>
          <w:sz w:val="24"/>
          <w:szCs w:val="24"/>
        </w:rPr>
      </w:pPr>
      <w:r>
        <w:rPr>
          <w:rFonts w:ascii="宋体" w:hAnsi="宋体" w:eastAsia="宋体" w:cs="宋体"/>
          <w:spacing w:val="-1"/>
          <w:sz w:val="24"/>
          <w:szCs w:val="24"/>
        </w:rPr>
        <w:t>注：1、表格可扩展、修改并增加内容。</w:t>
      </w:r>
    </w:p>
    <w:p w14:paraId="0565A4C7">
      <w:pPr>
        <w:spacing w:before="78" w:line="219" w:lineRule="auto"/>
        <w:ind w:left="602"/>
        <w:rPr>
          <w:rFonts w:ascii="宋体" w:hAnsi="宋体" w:eastAsia="宋体" w:cs="宋体"/>
          <w:spacing w:val="-1"/>
          <w:sz w:val="24"/>
          <w:szCs w:val="24"/>
        </w:rPr>
      </w:pPr>
      <w:r>
        <w:rPr>
          <w:rFonts w:ascii="宋体" w:hAnsi="宋体" w:eastAsia="宋体" w:cs="宋体"/>
          <w:spacing w:val="-1"/>
          <w:sz w:val="24"/>
          <w:szCs w:val="24"/>
        </w:rPr>
        <w:t>2 、附原合同。</w:t>
      </w:r>
    </w:p>
    <w:p w14:paraId="47744FC6">
      <w:pPr>
        <w:spacing w:before="78" w:line="219" w:lineRule="auto"/>
        <w:ind w:left="602"/>
        <w:rPr>
          <w:rFonts w:ascii="宋体" w:hAnsi="宋体" w:eastAsia="宋体" w:cs="宋体"/>
          <w:spacing w:val="-1"/>
          <w:sz w:val="24"/>
          <w:szCs w:val="24"/>
        </w:rPr>
      </w:pPr>
    </w:p>
    <w:p w14:paraId="6A4DC110">
      <w:pPr>
        <w:pStyle w:val="5"/>
        <w:spacing w:line="321" w:lineRule="auto"/>
      </w:pPr>
    </w:p>
    <w:p w14:paraId="3D5E0B81">
      <w:pPr>
        <w:spacing w:before="79" w:line="219" w:lineRule="auto"/>
        <w:ind w:left="432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5FD7EFCA">
      <w:pPr>
        <w:spacing w:before="184" w:line="219" w:lineRule="auto"/>
        <w:ind w:left="4323"/>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1"/>
          <w:sz w:val="24"/>
          <w:szCs w:val="24"/>
        </w:rPr>
        <w:t>签字）</w:t>
      </w:r>
    </w:p>
    <w:p w14:paraId="0DC456E8">
      <w:pPr>
        <w:spacing w:before="184" w:line="219" w:lineRule="auto"/>
        <w:ind w:left="4323"/>
        <w:outlineLvl w:val="2"/>
        <w:rPr>
          <w:rFonts w:ascii="宋体" w:hAnsi="宋体" w:eastAsia="宋体" w:cs="宋体"/>
          <w:sz w:val="24"/>
          <w:szCs w:val="24"/>
        </w:rPr>
      </w:pPr>
      <w:r>
        <w:rPr>
          <w:rFonts w:ascii="宋体" w:hAnsi="宋体" w:eastAsia="宋体" w:cs="宋体"/>
          <w:spacing w:val="-4"/>
          <w:sz w:val="24"/>
          <w:szCs w:val="24"/>
        </w:rPr>
        <w:t>年月日</w:t>
      </w:r>
    </w:p>
    <w:p w14:paraId="1564895B">
      <w:pPr>
        <w:spacing w:line="219" w:lineRule="auto"/>
        <w:rPr>
          <w:rFonts w:ascii="宋体" w:hAnsi="宋体" w:eastAsia="宋体" w:cs="宋体"/>
          <w:sz w:val="24"/>
          <w:szCs w:val="24"/>
        </w:rPr>
        <w:sectPr>
          <w:footerReference r:id="rId21" w:type="default"/>
          <w:pgSz w:w="11906" w:h="16839"/>
          <w:pgMar w:top="1431" w:right="1312" w:bottom="1156" w:left="1687" w:header="0" w:footer="994" w:gutter="0"/>
          <w:cols w:space="720" w:num="1"/>
        </w:sectPr>
      </w:pPr>
    </w:p>
    <w:p w14:paraId="03CDDC7A">
      <w:pPr>
        <w:spacing w:before="143" w:line="227" w:lineRule="auto"/>
        <w:ind w:left="124"/>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53"/>
          <w:sz w:val="19"/>
          <w:szCs w:val="19"/>
        </w:rPr>
        <w:t xml:space="preserve"> </w:t>
      </w:r>
      <w:r>
        <w:rPr>
          <w:rFonts w:ascii="宋体" w:hAnsi="宋体" w:eastAsia="宋体" w:cs="宋体"/>
          <w:spacing w:val="2"/>
          <w:sz w:val="19"/>
          <w:szCs w:val="19"/>
        </w:rPr>
        <w:t>、报价表</w:t>
      </w:r>
    </w:p>
    <w:p w14:paraId="27B989AB">
      <w:pPr>
        <w:spacing w:before="295" w:line="218" w:lineRule="auto"/>
        <w:ind w:left="126"/>
        <w:rPr>
          <w:rFonts w:ascii="宋体" w:hAnsi="宋体" w:eastAsia="宋体" w:cs="宋体"/>
          <w:sz w:val="24"/>
          <w:szCs w:val="24"/>
        </w:rPr>
      </w:pPr>
      <w:r>
        <w:rPr>
          <w:rFonts w:ascii="宋体" w:hAnsi="宋体" w:eastAsia="宋体" w:cs="宋体"/>
          <w:b/>
          <w:bCs/>
          <w:spacing w:val="-5"/>
          <w:sz w:val="24"/>
          <w:szCs w:val="24"/>
        </w:rPr>
        <w:t>5.1</w:t>
      </w:r>
      <w:r>
        <w:rPr>
          <w:rFonts w:ascii="宋体" w:hAnsi="宋体" w:eastAsia="宋体" w:cs="宋体"/>
          <w:spacing w:val="-51"/>
          <w:sz w:val="24"/>
          <w:szCs w:val="24"/>
        </w:rPr>
        <w:t xml:space="preserve"> </w:t>
      </w:r>
      <w:r>
        <w:rPr>
          <w:rFonts w:ascii="宋体" w:hAnsi="宋体" w:eastAsia="宋体" w:cs="宋体"/>
          <w:b/>
          <w:bCs/>
          <w:spacing w:val="-5"/>
          <w:sz w:val="24"/>
          <w:szCs w:val="24"/>
        </w:rPr>
        <w:t>报价说明：</w:t>
      </w:r>
    </w:p>
    <w:p w14:paraId="1FC38ED7">
      <w:pPr>
        <w:spacing w:before="184" w:line="218" w:lineRule="auto"/>
        <w:ind w:left="613"/>
        <w:rPr>
          <w:rFonts w:ascii="宋体" w:hAnsi="宋体" w:eastAsia="宋体" w:cs="宋体"/>
          <w:sz w:val="24"/>
          <w:szCs w:val="24"/>
        </w:rPr>
      </w:pPr>
      <w:r>
        <w:rPr>
          <w:rFonts w:ascii="宋体" w:hAnsi="宋体" w:eastAsia="宋体" w:cs="宋体"/>
          <w:spacing w:val="-1"/>
          <w:sz w:val="24"/>
          <w:szCs w:val="24"/>
        </w:rPr>
        <w:t>（1）报价表应按本</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文件规定的格式填写。</w:t>
      </w:r>
    </w:p>
    <w:p w14:paraId="0B8BBD4F">
      <w:pPr>
        <w:spacing w:before="184" w:line="218" w:lineRule="auto"/>
        <w:ind w:left="613"/>
        <w:rPr>
          <w:rFonts w:ascii="宋体" w:hAnsi="宋体" w:eastAsia="宋体" w:cs="宋体"/>
          <w:sz w:val="24"/>
          <w:szCs w:val="24"/>
        </w:rPr>
      </w:pPr>
      <w:r>
        <w:rPr>
          <w:rFonts w:ascii="宋体" w:hAnsi="宋体" w:eastAsia="宋体" w:cs="宋体"/>
          <w:spacing w:val="-2"/>
          <w:sz w:val="24"/>
          <w:szCs w:val="24"/>
        </w:rPr>
        <w:t>（2）报价币种为人民币。</w:t>
      </w:r>
    </w:p>
    <w:p w14:paraId="790805B7">
      <w:pPr>
        <w:spacing w:before="184" w:line="218" w:lineRule="auto"/>
        <w:ind w:left="613"/>
        <w:rPr>
          <w:rFonts w:ascii="宋体" w:hAnsi="宋体" w:eastAsia="宋体" w:cs="宋体"/>
          <w:sz w:val="24"/>
          <w:szCs w:val="24"/>
        </w:rPr>
      </w:pPr>
      <w:r>
        <w:rPr>
          <w:rFonts w:ascii="宋体" w:hAnsi="宋体" w:eastAsia="宋体" w:cs="宋体"/>
          <w:spacing w:val="-1"/>
          <w:sz w:val="24"/>
          <w:szCs w:val="24"/>
        </w:rPr>
        <w:t>（3）如果按单价计算的结果与总价不一致，以单价为准修正总价。</w:t>
      </w:r>
    </w:p>
    <w:p w14:paraId="48B27776">
      <w:pPr>
        <w:spacing w:before="184" w:line="290" w:lineRule="auto"/>
        <w:ind w:left="122" w:right="655" w:firstLine="491"/>
        <w:rPr>
          <w:rFonts w:ascii="宋体" w:hAnsi="宋体" w:eastAsia="宋体" w:cs="宋体"/>
          <w:sz w:val="24"/>
          <w:szCs w:val="24"/>
        </w:rPr>
      </w:pPr>
      <w:r>
        <w:rPr>
          <w:rFonts w:ascii="宋体" w:hAnsi="宋体" w:eastAsia="宋体" w:cs="宋体"/>
          <w:spacing w:val="-1"/>
          <w:sz w:val="24"/>
          <w:szCs w:val="24"/>
        </w:rPr>
        <w:t>（4）报价清单中有计算或汇总中的算术错误时，将按</w:t>
      </w:r>
      <w:r>
        <w:rPr>
          <w:rFonts w:hint="eastAsia" w:ascii="宋体" w:hAnsi="宋体" w:eastAsia="宋体" w:cs="宋体"/>
          <w:spacing w:val="-1"/>
          <w:sz w:val="24"/>
          <w:szCs w:val="24"/>
          <w:lang w:val="en-US" w:eastAsia="zh-CN"/>
        </w:rPr>
        <w:t>谈判</w:t>
      </w:r>
      <w:r>
        <w:rPr>
          <w:rFonts w:ascii="宋体" w:hAnsi="宋体" w:eastAsia="宋体" w:cs="宋体"/>
          <w:spacing w:val="-1"/>
          <w:sz w:val="24"/>
          <w:szCs w:val="24"/>
        </w:rPr>
        <w:t>须知中有关规定</w:t>
      </w:r>
      <w:r>
        <w:rPr>
          <w:rFonts w:ascii="宋体" w:hAnsi="宋体" w:eastAsia="宋体" w:cs="宋体"/>
          <w:spacing w:val="11"/>
          <w:sz w:val="24"/>
          <w:szCs w:val="24"/>
        </w:rPr>
        <w:t xml:space="preserve"> </w:t>
      </w:r>
      <w:r>
        <w:rPr>
          <w:rFonts w:ascii="宋体" w:hAnsi="宋体" w:eastAsia="宋体" w:cs="宋体"/>
          <w:spacing w:val="-4"/>
          <w:sz w:val="24"/>
          <w:szCs w:val="24"/>
        </w:rPr>
        <w:t>执行。</w:t>
      </w:r>
    </w:p>
    <w:p w14:paraId="7474933D">
      <w:pPr>
        <w:spacing w:before="182" w:line="290" w:lineRule="auto"/>
        <w:ind w:left="135" w:right="655" w:firstLine="478"/>
        <w:rPr>
          <w:rFonts w:ascii="宋体" w:hAnsi="宋体" w:eastAsia="宋体" w:cs="宋体"/>
          <w:sz w:val="24"/>
          <w:szCs w:val="24"/>
        </w:rPr>
      </w:pPr>
      <w:r>
        <w:rPr>
          <w:rFonts w:ascii="宋体" w:hAnsi="宋体" w:eastAsia="宋体" w:cs="宋体"/>
          <w:spacing w:val="-1"/>
          <w:sz w:val="24"/>
          <w:szCs w:val="24"/>
        </w:rPr>
        <w:t>（5）报价中包含货物从工厂运至规定的交货地点的运输费、装卸费、保险</w:t>
      </w:r>
      <w:r>
        <w:rPr>
          <w:rFonts w:ascii="宋体" w:hAnsi="宋体" w:eastAsia="宋体" w:cs="宋体"/>
          <w:spacing w:val="11"/>
          <w:sz w:val="24"/>
          <w:szCs w:val="24"/>
        </w:rPr>
        <w:t xml:space="preserve"> </w:t>
      </w:r>
      <w:r>
        <w:rPr>
          <w:rFonts w:ascii="宋体" w:hAnsi="宋体" w:eastAsia="宋体" w:cs="宋体"/>
          <w:spacing w:val="-2"/>
          <w:sz w:val="24"/>
          <w:szCs w:val="24"/>
        </w:rPr>
        <w:t>费、技术培训与服务费等所有费用。</w:t>
      </w:r>
    </w:p>
    <w:p w14:paraId="37B79239">
      <w:pPr>
        <w:spacing w:before="182" w:line="290" w:lineRule="auto"/>
        <w:ind w:left="121" w:right="655" w:firstLine="492"/>
        <w:rPr>
          <w:rFonts w:ascii="宋体" w:hAnsi="宋体" w:eastAsia="宋体" w:cs="宋体"/>
          <w:sz w:val="24"/>
          <w:szCs w:val="24"/>
        </w:rPr>
      </w:pPr>
      <w:r>
        <w:rPr>
          <w:rFonts w:ascii="宋体" w:hAnsi="宋体" w:eastAsia="宋体" w:cs="宋体"/>
          <w:spacing w:val="-1"/>
          <w:sz w:val="24"/>
          <w:szCs w:val="24"/>
        </w:rPr>
        <w:t>（6）本项目为固定总价项目，合同价格包括完成项目所需的各种费用，且</w:t>
      </w:r>
      <w:r>
        <w:rPr>
          <w:rFonts w:ascii="宋体" w:hAnsi="宋体" w:eastAsia="宋体" w:cs="宋体"/>
          <w:spacing w:val="11"/>
          <w:sz w:val="24"/>
          <w:szCs w:val="24"/>
        </w:rPr>
        <w:t xml:space="preserve"> </w:t>
      </w:r>
      <w:r>
        <w:rPr>
          <w:rFonts w:ascii="宋体" w:hAnsi="宋体" w:eastAsia="宋体" w:cs="宋体"/>
          <w:spacing w:val="-1"/>
          <w:sz w:val="24"/>
          <w:szCs w:val="24"/>
        </w:rPr>
        <w:t>在合同执行过程中不作任何调整。</w:t>
      </w:r>
    </w:p>
    <w:p w14:paraId="6771DE54">
      <w:pPr>
        <w:spacing w:before="183" w:line="218" w:lineRule="auto"/>
        <w:ind w:left="680"/>
        <w:rPr>
          <w:rFonts w:ascii="宋体" w:hAnsi="宋体" w:eastAsia="宋体" w:cs="宋体"/>
          <w:sz w:val="24"/>
          <w:szCs w:val="24"/>
        </w:rPr>
      </w:pPr>
      <w:r>
        <w:rPr>
          <w:rFonts w:ascii="宋体" w:hAnsi="宋体" w:eastAsia="宋体" w:cs="宋体"/>
          <w:spacing w:val="-1"/>
          <w:sz w:val="24"/>
          <w:szCs w:val="24"/>
        </w:rPr>
        <w:t>（7）若</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对某些项目未报价，则应认为已包括在总报价内。</w:t>
      </w:r>
    </w:p>
    <w:p w14:paraId="3BCC1483">
      <w:pPr>
        <w:spacing w:before="184" w:line="218" w:lineRule="auto"/>
        <w:ind w:left="613"/>
        <w:rPr>
          <w:rFonts w:ascii="宋体" w:hAnsi="宋体" w:eastAsia="宋体" w:cs="宋体"/>
          <w:sz w:val="24"/>
          <w:szCs w:val="24"/>
        </w:rPr>
      </w:pPr>
      <w:r>
        <w:rPr>
          <w:rFonts w:ascii="宋体" w:hAnsi="宋体" w:eastAsia="宋体" w:cs="宋体"/>
          <w:spacing w:val="-1"/>
          <w:sz w:val="24"/>
          <w:szCs w:val="24"/>
        </w:rPr>
        <w:t>（8）报价为含</w:t>
      </w:r>
      <w:r>
        <w:rPr>
          <w:rFonts w:ascii="宋体" w:hAnsi="宋体" w:eastAsia="宋体" w:cs="宋体"/>
          <w:spacing w:val="-48"/>
          <w:sz w:val="24"/>
          <w:szCs w:val="24"/>
        </w:rPr>
        <w:t xml:space="preserve"> </w:t>
      </w:r>
      <w:r>
        <w:rPr>
          <w:rFonts w:ascii="宋体" w:hAnsi="宋体" w:eastAsia="宋体" w:cs="宋体"/>
          <w:spacing w:val="-1"/>
          <w:sz w:val="24"/>
          <w:szCs w:val="24"/>
        </w:rPr>
        <w:t>6%增值税专用发票价格（以人民币报价的</w:t>
      </w:r>
      <w:r>
        <w:rPr>
          <w:rFonts w:ascii="宋体" w:hAnsi="宋体" w:eastAsia="宋体" w:cs="宋体"/>
          <w:spacing w:val="-2"/>
          <w:sz w:val="24"/>
          <w:szCs w:val="24"/>
        </w:rPr>
        <w:t>方式）。</w:t>
      </w:r>
    </w:p>
    <w:p w14:paraId="5D0E05B8">
      <w:pPr>
        <w:pStyle w:val="5"/>
        <w:spacing w:line="267" w:lineRule="auto"/>
      </w:pPr>
    </w:p>
    <w:p w14:paraId="158F565E">
      <w:pPr>
        <w:pStyle w:val="5"/>
        <w:spacing w:line="268" w:lineRule="auto"/>
      </w:pPr>
    </w:p>
    <w:p w14:paraId="3296E1F2">
      <w:pPr>
        <w:spacing w:before="78" w:line="218" w:lineRule="auto"/>
        <w:ind w:left="126"/>
        <w:rPr>
          <w:rFonts w:ascii="宋体" w:hAnsi="宋体" w:eastAsia="宋体" w:cs="宋体"/>
          <w:sz w:val="24"/>
          <w:szCs w:val="24"/>
        </w:rPr>
      </w:pPr>
      <w:r>
        <w:rPr>
          <w:rFonts w:ascii="宋体" w:hAnsi="宋体" w:eastAsia="宋体" w:cs="宋体"/>
          <w:b/>
          <w:bCs/>
          <w:spacing w:val="-6"/>
          <w:sz w:val="24"/>
          <w:szCs w:val="24"/>
        </w:rPr>
        <w:t>5.2</w:t>
      </w:r>
      <w:r>
        <w:rPr>
          <w:rFonts w:ascii="宋体" w:hAnsi="宋体" w:eastAsia="宋体" w:cs="宋体"/>
          <w:spacing w:val="-50"/>
          <w:sz w:val="24"/>
          <w:szCs w:val="24"/>
        </w:rPr>
        <w:t xml:space="preserve"> </w:t>
      </w:r>
      <w:r>
        <w:rPr>
          <w:rFonts w:ascii="宋体" w:hAnsi="宋体" w:eastAsia="宋体" w:cs="宋体"/>
          <w:b/>
          <w:bCs/>
          <w:spacing w:val="-6"/>
          <w:sz w:val="24"/>
          <w:szCs w:val="24"/>
        </w:rPr>
        <w:t>报价表</w:t>
      </w:r>
    </w:p>
    <w:p w14:paraId="7528B5C7">
      <w:pPr>
        <w:spacing w:line="70" w:lineRule="exact"/>
      </w:pPr>
    </w:p>
    <w:tbl>
      <w:tblPr>
        <w:tblStyle w:val="11"/>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241"/>
        <w:gridCol w:w="1417"/>
        <w:gridCol w:w="2125"/>
        <w:gridCol w:w="1275"/>
        <w:gridCol w:w="1847"/>
      </w:tblGrid>
      <w:tr w14:paraId="4CCE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79" w:type="dxa"/>
            <w:gridSpan w:val="2"/>
            <w:vMerge w:val="restart"/>
            <w:tcBorders>
              <w:bottom w:val="nil"/>
            </w:tcBorders>
            <w:vAlign w:val="top"/>
          </w:tcPr>
          <w:p w14:paraId="303A4213">
            <w:pPr>
              <w:pStyle w:val="12"/>
              <w:spacing w:before="120" w:line="219" w:lineRule="auto"/>
              <w:ind w:left="601"/>
            </w:pPr>
            <w:r>
              <w:rPr>
                <w:spacing w:val="-3"/>
              </w:rPr>
              <w:t>项目及内容</w:t>
            </w:r>
          </w:p>
        </w:tc>
        <w:tc>
          <w:tcPr>
            <w:tcW w:w="1417" w:type="dxa"/>
            <w:vMerge w:val="restart"/>
            <w:tcBorders>
              <w:bottom w:val="nil"/>
            </w:tcBorders>
            <w:vAlign w:val="top"/>
          </w:tcPr>
          <w:p w14:paraId="07F9FE5C">
            <w:pPr>
              <w:pStyle w:val="12"/>
              <w:spacing w:before="120" w:line="220" w:lineRule="auto"/>
              <w:ind w:left="476"/>
            </w:pPr>
            <w:r>
              <w:rPr>
                <w:spacing w:val="-6"/>
              </w:rPr>
              <w:t>单位</w:t>
            </w:r>
          </w:p>
        </w:tc>
        <w:tc>
          <w:tcPr>
            <w:tcW w:w="2125" w:type="dxa"/>
            <w:vMerge w:val="restart"/>
            <w:tcBorders>
              <w:bottom w:val="nil"/>
            </w:tcBorders>
            <w:vAlign w:val="top"/>
          </w:tcPr>
          <w:p w14:paraId="7CF87AF9">
            <w:pPr>
              <w:pStyle w:val="12"/>
              <w:spacing w:before="120" w:line="219" w:lineRule="auto"/>
              <w:ind w:left="352"/>
            </w:pPr>
            <w:r>
              <w:rPr>
                <w:spacing w:val="-2"/>
              </w:rPr>
              <w:t>数量或工作量</w:t>
            </w:r>
          </w:p>
        </w:tc>
        <w:tc>
          <w:tcPr>
            <w:tcW w:w="3122" w:type="dxa"/>
            <w:gridSpan w:val="2"/>
            <w:vAlign w:val="top"/>
          </w:tcPr>
          <w:p w14:paraId="13F7D03C">
            <w:pPr>
              <w:pStyle w:val="12"/>
              <w:spacing w:before="120" w:line="214" w:lineRule="auto"/>
              <w:ind w:left="1339"/>
            </w:pPr>
            <w:r>
              <w:rPr>
                <w:spacing w:val="-12"/>
              </w:rPr>
              <w:t>费用</w:t>
            </w:r>
          </w:p>
        </w:tc>
      </w:tr>
      <w:tr w14:paraId="10C3C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79" w:type="dxa"/>
            <w:gridSpan w:val="2"/>
            <w:vMerge w:val="continue"/>
            <w:tcBorders>
              <w:top w:val="nil"/>
            </w:tcBorders>
            <w:vAlign w:val="top"/>
          </w:tcPr>
          <w:p w14:paraId="36DDE1FB">
            <w:pPr>
              <w:rPr>
                <w:rFonts w:ascii="Arial"/>
                <w:sz w:val="21"/>
              </w:rPr>
            </w:pPr>
          </w:p>
        </w:tc>
        <w:tc>
          <w:tcPr>
            <w:tcW w:w="1417" w:type="dxa"/>
            <w:vMerge w:val="continue"/>
            <w:tcBorders>
              <w:top w:val="nil"/>
            </w:tcBorders>
            <w:vAlign w:val="top"/>
          </w:tcPr>
          <w:p w14:paraId="5189B72C">
            <w:pPr>
              <w:rPr>
                <w:rFonts w:ascii="Arial"/>
                <w:sz w:val="21"/>
              </w:rPr>
            </w:pPr>
          </w:p>
        </w:tc>
        <w:tc>
          <w:tcPr>
            <w:tcW w:w="2125" w:type="dxa"/>
            <w:vMerge w:val="continue"/>
            <w:tcBorders>
              <w:top w:val="nil"/>
            </w:tcBorders>
            <w:vAlign w:val="top"/>
          </w:tcPr>
          <w:p w14:paraId="2973DE37">
            <w:pPr>
              <w:rPr>
                <w:rFonts w:ascii="Arial"/>
                <w:sz w:val="21"/>
              </w:rPr>
            </w:pPr>
          </w:p>
        </w:tc>
        <w:tc>
          <w:tcPr>
            <w:tcW w:w="1275" w:type="dxa"/>
            <w:vAlign w:val="top"/>
          </w:tcPr>
          <w:p w14:paraId="7E350DDE">
            <w:pPr>
              <w:pStyle w:val="12"/>
              <w:spacing w:before="117" w:line="213" w:lineRule="auto"/>
              <w:jc w:val="right"/>
            </w:pPr>
            <w:r>
              <w:rPr>
                <w:spacing w:val="-11"/>
              </w:rPr>
              <w:t>单价（元）</w:t>
            </w:r>
          </w:p>
        </w:tc>
        <w:tc>
          <w:tcPr>
            <w:tcW w:w="1847" w:type="dxa"/>
            <w:vAlign w:val="top"/>
          </w:tcPr>
          <w:p w14:paraId="5CCC541C">
            <w:pPr>
              <w:pStyle w:val="12"/>
              <w:spacing w:before="117" w:line="213" w:lineRule="auto"/>
              <w:ind w:left="331"/>
            </w:pPr>
            <w:r>
              <w:rPr>
                <w:spacing w:val="-3"/>
              </w:rPr>
              <w:t>金额（元）</w:t>
            </w:r>
          </w:p>
        </w:tc>
      </w:tr>
      <w:tr w14:paraId="2CC4C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36C5F807">
            <w:pPr>
              <w:pStyle w:val="12"/>
              <w:spacing w:before="152" w:line="184" w:lineRule="auto"/>
              <w:ind w:left="533"/>
            </w:pPr>
            <w:r>
              <w:t>1</w:t>
            </w:r>
          </w:p>
        </w:tc>
        <w:tc>
          <w:tcPr>
            <w:tcW w:w="1241" w:type="dxa"/>
            <w:vAlign w:val="top"/>
          </w:tcPr>
          <w:p w14:paraId="4288CF7E">
            <w:pPr>
              <w:rPr>
                <w:rFonts w:ascii="Arial"/>
                <w:sz w:val="21"/>
              </w:rPr>
            </w:pPr>
          </w:p>
        </w:tc>
        <w:tc>
          <w:tcPr>
            <w:tcW w:w="1417" w:type="dxa"/>
            <w:vAlign w:val="top"/>
          </w:tcPr>
          <w:p w14:paraId="5A9A97B7">
            <w:pPr>
              <w:rPr>
                <w:rFonts w:ascii="Arial"/>
                <w:sz w:val="21"/>
              </w:rPr>
            </w:pPr>
          </w:p>
        </w:tc>
        <w:tc>
          <w:tcPr>
            <w:tcW w:w="2125" w:type="dxa"/>
            <w:vAlign w:val="top"/>
          </w:tcPr>
          <w:p w14:paraId="500F7C70">
            <w:pPr>
              <w:rPr>
                <w:rFonts w:ascii="Arial"/>
                <w:sz w:val="21"/>
              </w:rPr>
            </w:pPr>
          </w:p>
        </w:tc>
        <w:tc>
          <w:tcPr>
            <w:tcW w:w="1275" w:type="dxa"/>
            <w:vAlign w:val="top"/>
          </w:tcPr>
          <w:p w14:paraId="4BF51052">
            <w:pPr>
              <w:rPr>
                <w:rFonts w:ascii="Arial"/>
                <w:sz w:val="21"/>
              </w:rPr>
            </w:pPr>
          </w:p>
        </w:tc>
        <w:tc>
          <w:tcPr>
            <w:tcW w:w="1847" w:type="dxa"/>
            <w:vAlign w:val="top"/>
          </w:tcPr>
          <w:p w14:paraId="0489F31D">
            <w:pPr>
              <w:rPr>
                <w:rFonts w:ascii="Arial"/>
                <w:sz w:val="21"/>
              </w:rPr>
            </w:pPr>
          </w:p>
        </w:tc>
      </w:tr>
      <w:tr w14:paraId="02477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1C2D1F71">
            <w:pPr>
              <w:pStyle w:val="12"/>
              <w:spacing w:before="154" w:line="183" w:lineRule="auto"/>
              <w:ind w:left="518"/>
            </w:pPr>
            <w:r>
              <w:t>2</w:t>
            </w:r>
          </w:p>
        </w:tc>
        <w:tc>
          <w:tcPr>
            <w:tcW w:w="1241" w:type="dxa"/>
            <w:vAlign w:val="top"/>
          </w:tcPr>
          <w:p w14:paraId="116A3239">
            <w:pPr>
              <w:rPr>
                <w:rFonts w:ascii="Arial"/>
                <w:sz w:val="21"/>
              </w:rPr>
            </w:pPr>
          </w:p>
        </w:tc>
        <w:tc>
          <w:tcPr>
            <w:tcW w:w="1417" w:type="dxa"/>
            <w:vAlign w:val="top"/>
          </w:tcPr>
          <w:p w14:paraId="6236C241">
            <w:pPr>
              <w:rPr>
                <w:rFonts w:ascii="Arial"/>
                <w:sz w:val="21"/>
              </w:rPr>
            </w:pPr>
          </w:p>
        </w:tc>
        <w:tc>
          <w:tcPr>
            <w:tcW w:w="2125" w:type="dxa"/>
            <w:vAlign w:val="top"/>
          </w:tcPr>
          <w:p w14:paraId="2BA40E66">
            <w:pPr>
              <w:rPr>
                <w:rFonts w:ascii="Arial"/>
                <w:sz w:val="21"/>
              </w:rPr>
            </w:pPr>
          </w:p>
        </w:tc>
        <w:tc>
          <w:tcPr>
            <w:tcW w:w="1275" w:type="dxa"/>
            <w:vAlign w:val="top"/>
          </w:tcPr>
          <w:p w14:paraId="7CDA177E">
            <w:pPr>
              <w:rPr>
                <w:rFonts w:ascii="Arial"/>
                <w:sz w:val="21"/>
              </w:rPr>
            </w:pPr>
          </w:p>
        </w:tc>
        <w:tc>
          <w:tcPr>
            <w:tcW w:w="1847" w:type="dxa"/>
            <w:vAlign w:val="top"/>
          </w:tcPr>
          <w:p w14:paraId="491DA888">
            <w:pPr>
              <w:rPr>
                <w:rFonts w:ascii="Arial"/>
                <w:sz w:val="21"/>
              </w:rPr>
            </w:pPr>
          </w:p>
        </w:tc>
      </w:tr>
      <w:tr w14:paraId="721B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26C99EC6">
            <w:pPr>
              <w:pStyle w:val="12"/>
              <w:spacing w:before="156" w:line="183" w:lineRule="auto"/>
              <w:ind w:left="520"/>
            </w:pPr>
            <w:r>
              <w:t>3</w:t>
            </w:r>
          </w:p>
        </w:tc>
        <w:tc>
          <w:tcPr>
            <w:tcW w:w="1241" w:type="dxa"/>
            <w:vAlign w:val="top"/>
          </w:tcPr>
          <w:p w14:paraId="7E1C9C52">
            <w:pPr>
              <w:rPr>
                <w:rFonts w:ascii="Arial"/>
                <w:sz w:val="21"/>
              </w:rPr>
            </w:pPr>
          </w:p>
        </w:tc>
        <w:tc>
          <w:tcPr>
            <w:tcW w:w="1417" w:type="dxa"/>
            <w:vAlign w:val="top"/>
          </w:tcPr>
          <w:p w14:paraId="2649601C">
            <w:pPr>
              <w:rPr>
                <w:rFonts w:ascii="Arial"/>
                <w:sz w:val="21"/>
              </w:rPr>
            </w:pPr>
          </w:p>
        </w:tc>
        <w:tc>
          <w:tcPr>
            <w:tcW w:w="2125" w:type="dxa"/>
            <w:vAlign w:val="top"/>
          </w:tcPr>
          <w:p w14:paraId="3249E673">
            <w:pPr>
              <w:rPr>
                <w:rFonts w:ascii="Arial"/>
                <w:sz w:val="21"/>
              </w:rPr>
            </w:pPr>
          </w:p>
        </w:tc>
        <w:tc>
          <w:tcPr>
            <w:tcW w:w="1275" w:type="dxa"/>
            <w:vAlign w:val="top"/>
          </w:tcPr>
          <w:p w14:paraId="4CD537B6">
            <w:pPr>
              <w:rPr>
                <w:rFonts w:ascii="Arial"/>
                <w:sz w:val="21"/>
              </w:rPr>
            </w:pPr>
          </w:p>
        </w:tc>
        <w:tc>
          <w:tcPr>
            <w:tcW w:w="1847" w:type="dxa"/>
            <w:vAlign w:val="top"/>
          </w:tcPr>
          <w:p w14:paraId="62E8AB58">
            <w:pPr>
              <w:rPr>
                <w:rFonts w:ascii="Arial"/>
                <w:sz w:val="21"/>
              </w:rPr>
            </w:pPr>
          </w:p>
        </w:tc>
      </w:tr>
      <w:tr w14:paraId="2F5C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5B73110B">
            <w:pPr>
              <w:rPr>
                <w:rFonts w:ascii="Arial"/>
                <w:sz w:val="21"/>
              </w:rPr>
            </w:pPr>
          </w:p>
        </w:tc>
        <w:tc>
          <w:tcPr>
            <w:tcW w:w="1241" w:type="dxa"/>
            <w:vAlign w:val="top"/>
          </w:tcPr>
          <w:p w14:paraId="27EC9874">
            <w:pPr>
              <w:rPr>
                <w:rFonts w:ascii="Arial"/>
                <w:sz w:val="21"/>
              </w:rPr>
            </w:pPr>
          </w:p>
        </w:tc>
        <w:tc>
          <w:tcPr>
            <w:tcW w:w="1417" w:type="dxa"/>
            <w:vAlign w:val="top"/>
          </w:tcPr>
          <w:p w14:paraId="4FEF01B1">
            <w:pPr>
              <w:rPr>
                <w:rFonts w:ascii="Arial"/>
                <w:sz w:val="21"/>
              </w:rPr>
            </w:pPr>
          </w:p>
        </w:tc>
        <w:tc>
          <w:tcPr>
            <w:tcW w:w="2125" w:type="dxa"/>
            <w:vAlign w:val="top"/>
          </w:tcPr>
          <w:p w14:paraId="6B7F62E5">
            <w:pPr>
              <w:rPr>
                <w:rFonts w:ascii="Arial"/>
                <w:sz w:val="21"/>
              </w:rPr>
            </w:pPr>
          </w:p>
        </w:tc>
        <w:tc>
          <w:tcPr>
            <w:tcW w:w="1275" w:type="dxa"/>
            <w:vAlign w:val="top"/>
          </w:tcPr>
          <w:p w14:paraId="0AF32DFD">
            <w:pPr>
              <w:rPr>
                <w:rFonts w:ascii="Arial"/>
                <w:sz w:val="21"/>
              </w:rPr>
            </w:pPr>
          </w:p>
        </w:tc>
        <w:tc>
          <w:tcPr>
            <w:tcW w:w="1847" w:type="dxa"/>
            <w:vAlign w:val="top"/>
          </w:tcPr>
          <w:p w14:paraId="4330DD58">
            <w:pPr>
              <w:rPr>
                <w:rFonts w:ascii="Arial"/>
                <w:sz w:val="21"/>
              </w:rPr>
            </w:pPr>
          </w:p>
        </w:tc>
      </w:tr>
      <w:tr w14:paraId="1826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7028FA73">
            <w:pPr>
              <w:pStyle w:val="12"/>
              <w:spacing w:before="119" w:line="212" w:lineRule="auto"/>
              <w:ind w:left="336"/>
            </w:pPr>
            <w:r>
              <w:rPr>
                <w:spacing w:val="-6"/>
              </w:rPr>
              <w:t>合计</w:t>
            </w:r>
          </w:p>
        </w:tc>
        <w:tc>
          <w:tcPr>
            <w:tcW w:w="1241" w:type="dxa"/>
            <w:vAlign w:val="top"/>
          </w:tcPr>
          <w:p w14:paraId="05CA1CF7">
            <w:pPr>
              <w:rPr>
                <w:rFonts w:ascii="Arial"/>
                <w:sz w:val="21"/>
              </w:rPr>
            </w:pPr>
          </w:p>
        </w:tc>
        <w:tc>
          <w:tcPr>
            <w:tcW w:w="1417" w:type="dxa"/>
            <w:vAlign w:val="top"/>
          </w:tcPr>
          <w:p w14:paraId="7AE2323F">
            <w:pPr>
              <w:rPr>
                <w:rFonts w:ascii="Arial"/>
                <w:sz w:val="21"/>
              </w:rPr>
            </w:pPr>
          </w:p>
        </w:tc>
        <w:tc>
          <w:tcPr>
            <w:tcW w:w="2125" w:type="dxa"/>
            <w:vAlign w:val="top"/>
          </w:tcPr>
          <w:p w14:paraId="44FC84AE">
            <w:pPr>
              <w:rPr>
                <w:rFonts w:ascii="Arial"/>
                <w:sz w:val="21"/>
              </w:rPr>
            </w:pPr>
          </w:p>
        </w:tc>
        <w:tc>
          <w:tcPr>
            <w:tcW w:w="1275" w:type="dxa"/>
            <w:vAlign w:val="top"/>
          </w:tcPr>
          <w:p w14:paraId="1379B520">
            <w:pPr>
              <w:rPr>
                <w:rFonts w:ascii="Arial"/>
                <w:sz w:val="21"/>
              </w:rPr>
            </w:pPr>
          </w:p>
        </w:tc>
        <w:tc>
          <w:tcPr>
            <w:tcW w:w="1847" w:type="dxa"/>
            <w:vAlign w:val="top"/>
          </w:tcPr>
          <w:p w14:paraId="127ADF18">
            <w:pPr>
              <w:rPr>
                <w:rFonts w:ascii="Arial"/>
                <w:sz w:val="21"/>
              </w:rPr>
            </w:pPr>
          </w:p>
        </w:tc>
      </w:tr>
      <w:tr w14:paraId="37DF2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43" w:type="dxa"/>
            <w:gridSpan w:val="6"/>
            <w:vAlign w:val="top"/>
          </w:tcPr>
          <w:p w14:paraId="1EAF6185">
            <w:pPr>
              <w:pStyle w:val="12"/>
              <w:spacing w:before="78" w:line="221" w:lineRule="auto"/>
              <w:ind w:left="720"/>
              <w:outlineLvl w:val="0"/>
            </w:pPr>
            <w:r>
              <w:rPr>
                <w:spacing w:val="-7"/>
              </w:rPr>
              <w:t>备注</w:t>
            </w:r>
          </w:p>
        </w:tc>
      </w:tr>
      <w:tr w14:paraId="63981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8" w:type="dxa"/>
            <w:vAlign w:val="top"/>
          </w:tcPr>
          <w:p w14:paraId="51F306FC">
            <w:pPr>
              <w:rPr>
                <w:rFonts w:ascii="Arial"/>
                <w:sz w:val="21"/>
              </w:rPr>
            </w:pPr>
          </w:p>
        </w:tc>
        <w:tc>
          <w:tcPr>
            <w:tcW w:w="7905" w:type="dxa"/>
            <w:gridSpan w:val="5"/>
            <w:vAlign w:val="top"/>
          </w:tcPr>
          <w:p w14:paraId="1B1739E9">
            <w:pPr>
              <w:pStyle w:val="12"/>
              <w:spacing w:before="120" w:line="214" w:lineRule="auto"/>
              <w:ind w:left="112"/>
            </w:pPr>
            <w:r>
              <w:t>合计人民币金额：￥     （含    %增</w:t>
            </w:r>
            <w:r>
              <w:rPr>
                <w:spacing w:val="-1"/>
              </w:rPr>
              <w:t>值税，大写      ）</w:t>
            </w:r>
          </w:p>
        </w:tc>
      </w:tr>
    </w:tbl>
    <w:p w14:paraId="0C4E908F">
      <w:pPr>
        <w:pStyle w:val="5"/>
        <w:spacing w:line="464" w:lineRule="auto"/>
      </w:pPr>
    </w:p>
    <w:p w14:paraId="36D2978F">
      <w:pPr>
        <w:spacing w:before="78"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0CC699AE">
      <w:pPr>
        <w:spacing w:before="183" w:line="347" w:lineRule="auto"/>
        <w:ind w:left="7083" w:right="530" w:hanging="240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669AEF76">
      <w:pPr>
        <w:spacing w:line="347" w:lineRule="auto"/>
        <w:rPr>
          <w:rFonts w:ascii="宋体" w:hAnsi="宋体" w:eastAsia="宋体" w:cs="宋体"/>
          <w:sz w:val="24"/>
          <w:szCs w:val="24"/>
        </w:rPr>
        <w:sectPr>
          <w:footerReference r:id="rId22" w:type="default"/>
          <w:pgSz w:w="11906" w:h="16839"/>
          <w:pgMar w:top="1431" w:right="1170" w:bottom="1156" w:left="1687" w:header="0" w:footer="994" w:gutter="0"/>
          <w:cols w:space="720" w:num="1"/>
        </w:sectPr>
      </w:pPr>
    </w:p>
    <w:p w14:paraId="02DD6D6B">
      <w:pPr>
        <w:pStyle w:val="5"/>
        <w:spacing w:line="312" w:lineRule="auto"/>
      </w:pPr>
    </w:p>
    <w:p w14:paraId="74FBC04B">
      <w:pPr>
        <w:spacing w:before="143" w:line="228" w:lineRule="auto"/>
        <w:ind w:left="125"/>
        <w:rPr>
          <w:rFonts w:ascii="宋体" w:hAnsi="宋体" w:eastAsia="宋体" w:cs="宋体"/>
          <w:sz w:val="19"/>
          <w:szCs w:val="19"/>
        </w:rPr>
      </w:pPr>
      <w:r>
        <w:rPr>
          <w:rFonts w:ascii="宋体" w:hAnsi="宋体" w:eastAsia="宋体" w:cs="宋体"/>
          <w:spacing w:val="8"/>
          <w:sz w:val="19"/>
          <w:szCs w:val="19"/>
        </w:rPr>
        <w:t>7、商务或技术偏差表</w:t>
      </w:r>
    </w:p>
    <w:p w14:paraId="301CAB68">
      <w:pPr>
        <w:spacing w:before="294" w:line="219" w:lineRule="auto"/>
        <w:ind w:left="3316"/>
        <w:rPr>
          <w:rFonts w:ascii="宋体" w:hAnsi="宋体" w:eastAsia="宋体" w:cs="宋体"/>
          <w:sz w:val="24"/>
          <w:szCs w:val="24"/>
        </w:rPr>
      </w:pPr>
      <w:r>
        <w:rPr>
          <w:rFonts w:ascii="宋体" w:hAnsi="宋体" w:eastAsia="宋体" w:cs="宋体"/>
          <w:b/>
          <w:bCs/>
          <w:spacing w:val="-4"/>
          <w:sz w:val="24"/>
          <w:szCs w:val="24"/>
        </w:rPr>
        <w:t>商务或技术偏差表</w:t>
      </w:r>
    </w:p>
    <w:p w14:paraId="0FBE218A">
      <w:pPr>
        <w:spacing w:line="67" w:lineRule="exact"/>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5460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vAlign w:val="top"/>
          </w:tcPr>
          <w:p w14:paraId="57DB91E1">
            <w:pPr>
              <w:spacing w:line="276" w:lineRule="auto"/>
              <w:rPr>
                <w:rFonts w:ascii="Arial"/>
                <w:sz w:val="21"/>
              </w:rPr>
            </w:pPr>
          </w:p>
          <w:p w14:paraId="30A3AE61">
            <w:pPr>
              <w:spacing w:line="276" w:lineRule="auto"/>
              <w:rPr>
                <w:rFonts w:ascii="Arial"/>
                <w:sz w:val="21"/>
              </w:rPr>
            </w:pPr>
          </w:p>
          <w:p w14:paraId="127E4A21">
            <w:pPr>
              <w:spacing w:line="276" w:lineRule="auto"/>
              <w:rPr>
                <w:rFonts w:ascii="Arial"/>
                <w:sz w:val="21"/>
              </w:rPr>
            </w:pPr>
          </w:p>
          <w:p w14:paraId="37A37134">
            <w:pPr>
              <w:spacing w:before="78" w:line="354" w:lineRule="auto"/>
              <w:ind w:left="220" w:right="219" w:firstLine="7"/>
              <w:jc w:val="both"/>
              <w:rPr>
                <w:rFonts w:ascii="仿宋" w:hAnsi="仿宋" w:eastAsia="仿宋" w:cs="仿宋"/>
                <w:sz w:val="24"/>
                <w:szCs w:val="24"/>
              </w:rPr>
            </w:pPr>
            <w:r>
              <w:rPr>
                <w:rFonts w:ascii="仿宋" w:hAnsi="仿宋" w:eastAsia="仿宋" w:cs="仿宋"/>
                <w:spacing w:val="-13"/>
                <w:sz w:val="24"/>
                <w:szCs w:val="24"/>
              </w:rPr>
              <w:t>商务</w:t>
            </w:r>
            <w:r>
              <w:rPr>
                <w:rFonts w:ascii="仿宋" w:hAnsi="仿宋" w:eastAsia="仿宋" w:cs="仿宋"/>
                <w:sz w:val="24"/>
                <w:szCs w:val="24"/>
              </w:rPr>
              <w:t xml:space="preserve"> </w:t>
            </w:r>
            <w:r>
              <w:rPr>
                <w:rFonts w:ascii="仿宋" w:hAnsi="仿宋" w:eastAsia="仿宋" w:cs="仿宋"/>
                <w:spacing w:val="-9"/>
                <w:sz w:val="24"/>
                <w:szCs w:val="24"/>
              </w:rPr>
              <w:t>或技</w:t>
            </w:r>
            <w:r>
              <w:rPr>
                <w:rFonts w:ascii="仿宋" w:hAnsi="仿宋" w:eastAsia="仿宋" w:cs="仿宋"/>
                <w:sz w:val="24"/>
                <w:szCs w:val="24"/>
              </w:rPr>
              <w:t xml:space="preserve"> </w:t>
            </w:r>
            <w:r>
              <w:rPr>
                <w:rFonts w:ascii="仿宋" w:hAnsi="仿宋" w:eastAsia="仿宋" w:cs="仿宋"/>
                <w:spacing w:val="-9"/>
                <w:sz w:val="24"/>
                <w:szCs w:val="24"/>
              </w:rPr>
              <w:t>术偏</w:t>
            </w:r>
            <w:r>
              <w:rPr>
                <w:rFonts w:ascii="仿宋" w:hAnsi="仿宋" w:eastAsia="仿宋" w:cs="仿宋"/>
                <w:sz w:val="24"/>
                <w:szCs w:val="24"/>
              </w:rPr>
              <w:t xml:space="preserve"> </w:t>
            </w:r>
            <w:r>
              <w:rPr>
                <w:rFonts w:ascii="仿宋" w:hAnsi="仿宋" w:eastAsia="仿宋" w:cs="仿宋"/>
                <w:spacing w:val="43"/>
                <w:w w:val="125"/>
                <w:sz w:val="24"/>
                <w:szCs w:val="24"/>
              </w:rPr>
              <w:t>差</w:t>
            </w:r>
          </w:p>
        </w:tc>
        <w:tc>
          <w:tcPr>
            <w:tcW w:w="1330" w:type="dxa"/>
            <w:vAlign w:val="top"/>
          </w:tcPr>
          <w:p w14:paraId="4B62C2D0">
            <w:pPr>
              <w:spacing w:before="167" w:line="224" w:lineRule="auto"/>
              <w:ind w:left="432"/>
              <w:rPr>
                <w:rFonts w:ascii="仿宋" w:hAnsi="仿宋" w:eastAsia="仿宋" w:cs="仿宋"/>
                <w:sz w:val="24"/>
                <w:szCs w:val="24"/>
              </w:rPr>
            </w:pPr>
            <w:r>
              <w:rPr>
                <w:rFonts w:ascii="仿宋" w:hAnsi="仿宋" w:eastAsia="仿宋" w:cs="仿宋"/>
                <w:spacing w:val="-10"/>
                <w:sz w:val="24"/>
                <w:szCs w:val="24"/>
              </w:rPr>
              <w:t>条目</w:t>
            </w:r>
          </w:p>
        </w:tc>
        <w:tc>
          <w:tcPr>
            <w:tcW w:w="991" w:type="dxa"/>
            <w:vAlign w:val="top"/>
          </w:tcPr>
          <w:p w14:paraId="01DD118C">
            <w:pPr>
              <w:spacing w:before="167" w:line="224" w:lineRule="auto"/>
              <w:ind w:left="273"/>
              <w:rPr>
                <w:rFonts w:ascii="仿宋" w:hAnsi="仿宋" w:eastAsia="仿宋" w:cs="仿宋"/>
                <w:sz w:val="24"/>
                <w:szCs w:val="24"/>
              </w:rPr>
            </w:pPr>
            <w:r>
              <w:rPr>
                <w:rFonts w:ascii="仿宋" w:hAnsi="仿宋" w:eastAsia="仿宋" w:cs="仿宋"/>
                <w:spacing w:val="-15"/>
                <w:sz w:val="24"/>
                <w:szCs w:val="24"/>
              </w:rPr>
              <w:t>页码</w:t>
            </w:r>
          </w:p>
        </w:tc>
        <w:tc>
          <w:tcPr>
            <w:tcW w:w="2550" w:type="dxa"/>
            <w:vAlign w:val="top"/>
          </w:tcPr>
          <w:p w14:paraId="50E649E8">
            <w:pPr>
              <w:spacing w:before="168" w:line="222" w:lineRule="auto"/>
              <w:ind w:left="561"/>
              <w:rPr>
                <w:rFonts w:ascii="仿宋" w:hAnsi="仿宋" w:eastAsia="仿宋" w:cs="仿宋"/>
                <w:sz w:val="24"/>
                <w:szCs w:val="24"/>
              </w:rPr>
            </w:pPr>
            <w:r>
              <w:rPr>
                <w:rFonts w:hint="eastAsia" w:ascii="仿宋" w:hAnsi="仿宋" w:eastAsia="仿宋" w:cs="仿宋"/>
                <w:spacing w:val="-3"/>
                <w:sz w:val="24"/>
                <w:szCs w:val="24"/>
                <w:lang w:val="en-US" w:eastAsia="zh-CN"/>
              </w:rPr>
              <w:t>谈判</w:t>
            </w:r>
            <w:r>
              <w:rPr>
                <w:rFonts w:ascii="仿宋" w:hAnsi="仿宋" w:eastAsia="仿宋" w:cs="仿宋"/>
                <w:spacing w:val="-3"/>
                <w:sz w:val="24"/>
                <w:szCs w:val="24"/>
              </w:rPr>
              <w:t>文件规定</w:t>
            </w:r>
          </w:p>
        </w:tc>
        <w:tc>
          <w:tcPr>
            <w:tcW w:w="1984" w:type="dxa"/>
            <w:vAlign w:val="top"/>
          </w:tcPr>
          <w:p w14:paraId="2FC0A9D1">
            <w:pPr>
              <w:spacing w:before="168" w:line="223" w:lineRule="auto"/>
              <w:ind w:left="760"/>
              <w:rPr>
                <w:rFonts w:ascii="仿宋" w:hAnsi="仿宋" w:eastAsia="仿宋" w:cs="仿宋"/>
                <w:sz w:val="24"/>
                <w:szCs w:val="24"/>
              </w:rPr>
            </w:pPr>
            <w:r>
              <w:rPr>
                <w:rFonts w:ascii="仿宋" w:hAnsi="仿宋" w:eastAsia="仿宋" w:cs="仿宋"/>
                <w:spacing w:val="-9"/>
                <w:sz w:val="24"/>
                <w:szCs w:val="24"/>
              </w:rPr>
              <w:t>偏差</w:t>
            </w:r>
          </w:p>
        </w:tc>
        <w:tc>
          <w:tcPr>
            <w:tcW w:w="1421" w:type="dxa"/>
            <w:vAlign w:val="top"/>
          </w:tcPr>
          <w:p w14:paraId="380E42C4">
            <w:pPr>
              <w:spacing w:before="168" w:line="224" w:lineRule="auto"/>
              <w:ind w:left="479"/>
              <w:rPr>
                <w:rFonts w:ascii="仿宋" w:hAnsi="仿宋" w:eastAsia="仿宋" w:cs="仿宋"/>
                <w:sz w:val="24"/>
                <w:szCs w:val="24"/>
              </w:rPr>
            </w:pPr>
            <w:r>
              <w:rPr>
                <w:rFonts w:ascii="仿宋" w:hAnsi="仿宋" w:eastAsia="仿宋" w:cs="仿宋"/>
                <w:spacing w:val="-9"/>
                <w:sz w:val="24"/>
                <w:szCs w:val="24"/>
              </w:rPr>
              <w:t>备注</w:t>
            </w:r>
          </w:p>
        </w:tc>
      </w:tr>
      <w:tr w14:paraId="141A3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054A2DB3">
            <w:pPr>
              <w:rPr>
                <w:rFonts w:ascii="Arial"/>
                <w:sz w:val="21"/>
              </w:rPr>
            </w:pPr>
          </w:p>
        </w:tc>
        <w:tc>
          <w:tcPr>
            <w:tcW w:w="1330" w:type="dxa"/>
            <w:vAlign w:val="top"/>
          </w:tcPr>
          <w:p w14:paraId="42F65108">
            <w:pPr>
              <w:rPr>
                <w:rFonts w:ascii="Arial"/>
                <w:sz w:val="21"/>
              </w:rPr>
            </w:pPr>
          </w:p>
        </w:tc>
        <w:tc>
          <w:tcPr>
            <w:tcW w:w="991" w:type="dxa"/>
            <w:vAlign w:val="top"/>
          </w:tcPr>
          <w:p w14:paraId="7F680CD5">
            <w:pPr>
              <w:rPr>
                <w:rFonts w:ascii="Arial"/>
                <w:sz w:val="21"/>
              </w:rPr>
            </w:pPr>
          </w:p>
        </w:tc>
        <w:tc>
          <w:tcPr>
            <w:tcW w:w="2550" w:type="dxa"/>
            <w:vAlign w:val="top"/>
          </w:tcPr>
          <w:p w14:paraId="700063EA">
            <w:pPr>
              <w:rPr>
                <w:rFonts w:ascii="Arial"/>
                <w:sz w:val="21"/>
              </w:rPr>
            </w:pPr>
          </w:p>
        </w:tc>
        <w:tc>
          <w:tcPr>
            <w:tcW w:w="1984" w:type="dxa"/>
            <w:vAlign w:val="top"/>
          </w:tcPr>
          <w:p w14:paraId="3B8F0750">
            <w:pPr>
              <w:rPr>
                <w:rFonts w:ascii="Arial"/>
                <w:sz w:val="21"/>
              </w:rPr>
            </w:pPr>
          </w:p>
        </w:tc>
        <w:tc>
          <w:tcPr>
            <w:tcW w:w="1421" w:type="dxa"/>
            <w:vAlign w:val="top"/>
          </w:tcPr>
          <w:p w14:paraId="72A70C74">
            <w:pPr>
              <w:rPr>
                <w:rFonts w:ascii="Arial"/>
                <w:sz w:val="21"/>
              </w:rPr>
            </w:pPr>
          </w:p>
        </w:tc>
      </w:tr>
      <w:tr w14:paraId="5AF56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2FD93025">
            <w:pPr>
              <w:rPr>
                <w:rFonts w:ascii="Arial"/>
                <w:sz w:val="21"/>
              </w:rPr>
            </w:pPr>
          </w:p>
        </w:tc>
        <w:tc>
          <w:tcPr>
            <w:tcW w:w="1330" w:type="dxa"/>
            <w:vAlign w:val="top"/>
          </w:tcPr>
          <w:p w14:paraId="635405C2">
            <w:pPr>
              <w:rPr>
                <w:rFonts w:ascii="Arial"/>
                <w:sz w:val="21"/>
              </w:rPr>
            </w:pPr>
          </w:p>
        </w:tc>
        <w:tc>
          <w:tcPr>
            <w:tcW w:w="991" w:type="dxa"/>
            <w:vAlign w:val="top"/>
          </w:tcPr>
          <w:p w14:paraId="785B88E2">
            <w:pPr>
              <w:rPr>
                <w:rFonts w:ascii="Arial"/>
                <w:sz w:val="21"/>
              </w:rPr>
            </w:pPr>
          </w:p>
        </w:tc>
        <w:tc>
          <w:tcPr>
            <w:tcW w:w="2550" w:type="dxa"/>
            <w:vAlign w:val="top"/>
          </w:tcPr>
          <w:p w14:paraId="32199E12">
            <w:pPr>
              <w:rPr>
                <w:rFonts w:ascii="Arial"/>
                <w:sz w:val="21"/>
              </w:rPr>
            </w:pPr>
          </w:p>
        </w:tc>
        <w:tc>
          <w:tcPr>
            <w:tcW w:w="1984" w:type="dxa"/>
            <w:vAlign w:val="top"/>
          </w:tcPr>
          <w:p w14:paraId="37D7E01D">
            <w:pPr>
              <w:rPr>
                <w:rFonts w:ascii="Arial"/>
                <w:sz w:val="21"/>
              </w:rPr>
            </w:pPr>
          </w:p>
        </w:tc>
        <w:tc>
          <w:tcPr>
            <w:tcW w:w="1421" w:type="dxa"/>
            <w:vAlign w:val="top"/>
          </w:tcPr>
          <w:p w14:paraId="74D487DA">
            <w:pPr>
              <w:rPr>
                <w:rFonts w:ascii="Arial"/>
                <w:sz w:val="21"/>
              </w:rPr>
            </w:pPr>
          </w:p>
        </w:tc>
      </w:tr>
      <w:tr w14:paraId="2198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67223C3F">
            <w:pPr>
              <w:rPr>
                <w:rFonts w:ascii="Arial"/>
                <w:sz w:val="21"/>
              </w:rPr>
            </w:pPr>
          </w:p>
        </w:tc>
        <w:tc>
          <w:tcPr>
            <w:tcW w:w="1330" w:type="dxa"/>
            <w:vAlign w:val="top"/>
          </w:tcPr>
          <w:p w14:paraId="246D41C3">
            <w:pPr>
              <w:rPr>
                <w:rFonts w:ascii="Arial"/>
                <w:sz w:val="21"/>
              </w:rPr>
            </w:pPr>
          </w:p>
        </w:tc>
        <w:tc>
          <w:tcPr>
            <w:tcW w:w="991" w:type="dxa"/>
            <w:vAlign w:val="top"/>
          </w:tcPr>
          <w:p w14:paraId="0A9D5D99">
            <w:pPr>
              <w:rPr>
                <w:rFonts w:ascii="Arial"/>
                <w:sz w:val="21"/>
              </w:rPr>
            </w:pPr>
          </w:p>
        </w:tc>
        <w:tc>
          <w:tcPr>
            <w:tcW w:w="2550" w:type="dxa"/>
            <w:vAlign w:val="top"/>
          </w:tcPr>
          <w:p w14:paraId="1FB15D0F">
            <w:pPr>
              <w:rPr>
                <w:rFonts w:ascii="Arial"/>
                <w:sz w:val="21"/>
              </w:rPr>
            </w:pPr>
          </w:p>
        </w:tc>
        <w:tc>
          <w:tcPr>
            <w:tcW w:w="1984" w:type="dxa"/>
            <w:vAlign w:val="top"/>
          </w:tcPr>
          <w:p w14:paraId="3A37837F">
            <w:pPr>
              <w:rPr>
                <w:rFonts w:ascii="Arial"/>
                <w:sz w:val="21"/>
              </w:rPr>
            </w:pPr>
          </w:p>
        </w:tc>
        <w:tc>
          <w:tcPr>
            <w:tcW w:w="1421" w:type="dxa"/>
            <w:vAlign w:val="top"/>
          </w:tcPr>
          <w:p w14:paraId="5F75707B">
            <w:pPr>
              <w:rPr>
                <w:rFonts w:ascii="Arial"/>
                <w:sz w:val="21"/>
              </w:rPr>
            </w:pPr>
          </w:p>
        </w:tc>
      </w:tr>
      <w:tr w14:paraId="73B6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396BDA76">
            <w:pPr>
              <w:rPr>
                <w:rFonts w:ascii="Arial"/>
                <w:sz w:val="21"/>
              </w:rPr>
            </w:pPr>
          </w:p>
        </w:tc>
        <w:tc>
          <w:tcPr>
            <w:tcW w:w="1330" w:type="dxa"/>
            <w:vAlign w:val="top"/>
          </w:tcPr>
          <w:p w14:paraId="488665CD">
            <w:pPr>
              <w:rPr>
                <w:rFonts w:ascii="Arial"/>
                <w:sz w:val="21"/>
              </w:rPr>
            </w:pPr>
          </w:p>
        </w:tc>
        <w:tc>
          <w:tcPr>
            <w:tcW w:w="991" w:type="dxa"/>
            <w:vAlign w:val="top"/>
          </w:tcPr>
          <w:p w14:paraId="7CCD1732">
            <w:pPr>
              <w:rPr>
                <w:rFonts w:ascii="Arial"/>
                <w:sz w:val="21"/>
              </w:rPr>
            </w:pPr>
          </w:p>
        </w:tc>
        <w:tc>
          <w:tcPr>
            <w:tcW w:w="2550" w:type="dxa"/>
            <w:vAlign w:val="top"/>
          </w:tcPr>
          <w:p w14:paraId="5B50F9C3">
            <w:pPr>
              <w:rPr>
                <w:rFonts w:ascii="Arial"/>
                <w:sz w:val="21"/>
              </w:rPr>
            </w:pPr>
          </w:p>
        </w:tc>
        <w:tc>
          <w:tcPr>
            <w:tcW w:w="1984" w:type="dxa"/>
            <w:vAlign w:val="top"/>
          </w:tcPr>
          <w:p w14:paraId="157B3102">
            <w:pPr>
              <w:rPr>
                <w:rFonts w:ascii="Arial"/>
                <w:sz w:val="21"/>
              </w:rPr>
            </w:pPr>
          </w:p>
        </w:tc>
        <w:tc>
          <w:tcPr>
            <w:tcW w:w="1421" w:type="dxa"/>
            <w:vAlign w:val="top"/>
          </w:tcPr>
          <w:p w14:paraId="1B6B5935">
            <w:pPr>
              <w:rPr>
                <w:rFonts w:ascii="Arial"/>
                <w:sz w:val="21"/>
              </w:rPr>
            </w:pPr>
          </w:p>
        </w:tc>
      </w:tr>
      <w:tr w14:paraId="1E56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vAlign w:val="top"/>
          </w:tcPr>
          <w:p w14:paraId="5103F5EC">
            <w:pPr>
              <w:rPr>
                <w:rFonts w:ascii="Arial"/>
                <w:sz w:val="21"/>
              </w:rPr>
            </w:pPr>
          </w:p>
        </w:tc>
        <w:tc>
          <w:tcPr>
            <w:tcW w:w="1330" w:type="dxa"/>
            <w:vAlign w:val="top"/>
          </w:tcPr>
          <w:p w14:paraId="0F58121D">
            <w:pPr>
              <w:rPr>
                <w:rFonts w:ascii="Arial"/>
                <w:sz w:val="21"/>
              </w:rPr>
            </w:pPr>
          </w:p>
        </w:tc>
        <w:tc>
          <w:tcPr>
            <w:tcW w:w="991" w:type="dxa"/>
            <w:vAlign w:val="top"/>
          </w:tcPr>
          <w:p w14:paraId="675EB33A">
            <w:pPr>
              <w:rPr>
                <w:rFonts w:ascii="Arial"/>
                <w:sz w:val="21"/>
              </w:rPr>
            </w:pPr>
          </w:p>
        </w:tc>
        <w:tc>
          <w:tcPr>
            <w:tcW w:w="2550" w:type="dxa"/>
            <w:vAlign w:val="top"/>
          </w:tcPr>
          <w:p w14:paraId="55381767">
            <w:pPr>
              <w:rPr>
                <w:rFonts w:ascii="Arial"/>
                <w:sz w:val="21"/>
              </w:rPr>
            </w:pPr>
          </w:p>
        </w:tc>
        <w:tc>
          <w:tcPr>
            <w:tcW w:w="1984" w:type="dxa"/>
            <w:vAlign w:val="top"/>
          </w:tcPr>
          <w:p w14:paraId="399734D7">
            <w:pPr>
              <w:rPr>
                <w:rFonts w:ascii="Arial"/>
                <w:sz w:val="21"/>
              </w:rPr>
            </w:pPr>
          </w:p>
        </w:tc>
        <w:tc>
          <w:tcPr>
            <w:tcW w:w="1421" w:type="dxa"/>
            <w:vAlign w:val="top"/>
          </w:tcPr>
          <w:p w14:paraId="60C831F0">
            <w:pPr>
              <w:rPr>
                <w:rFonts w:ascii="Arial"/>
                <w:sz w:val="21"/>
              </w:rPr>
            </w:pPr>
          </w:p>
        </w:tc>
      </w:tr>
    </w:tbl>
    <w:p w14:paraId="0CE6E440">
      <w:pPr>
        <w:spacing w:before="113" w:line="219" w:lineRule="auto"/>
        <w:ind w:left="282"/>
        <w:rPr>
          <w:rFonts w:ascii="宋体" w:hAnsi="宋体" w:eastAsia="宋体" w:cs="宋体"/>
          <w:sz w:val="24"/>
          <w:szCs w:val="24"/>
        </w:rPr>
      </w:pPr>
      <w:r>
        <w:rPr>
          <w:rFonts w:ascii="宋体" w:hAnsi="宋体" w:eastAsia="宋体" w:cs="宋体"/>
          <w:spacing w:val="-1"/>
          <w:sz w:val="24"/>
          <w:szCs w:val="24"/>
        </w:rPr>
        <w:t>注：若无商务或技术偏差，本表可不填。</w:t>
      </w:r>
    </w:p>
    <w:p w14:paraId="35F74DBC">
      <w:pPr>
        <w:spacing w:before="183"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5DC4641D">
      <w:pPr>
        <w:spacing w:before="183" w:line="347" w:lineRule="auto"/>
        <w:ind w:left="4683" w:right="671"/>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4"/>
          <w:sz w:val="24"/>
          <w:szCs w:val="24"/>
        </w:rPr>
        <w:t>年月日</w:t>
      </w:r>
    </w:p>
    <w:p w14:paraId="4AB7105F">
      <w:pPr>
        <w:pStyle w:val="5"/>
        <w:spacing w:line="250" w:lineRule="auto"/>
      </w:pPr>
    </w:p>
    <w:p w14:paraId="6684F5B1">
      <w:pPr>
        <w:pStyle w:val="5"/>
        <w:spacing w:line="250" w:lineRule="auto"/>
      </w:pPr>
    </w:p>
    <w:p w14:paraId="4B211D02">
      <w:pPr>
        <w:pStyle w:val="5"/>
        <w:spacing w:line="251" w:lineRule="auto"/>
      </w:pPr>
    </w:p>
    <w:p w14:paraId="201CDB1A">
      <w:pPr>
        <w:pStyle w:val="5"/>
        <w:spacing w:line="251" w:lineRule="auto"/>
      </w:pPr>
    </w:p>
    <w:p w14:paraId="253EA233">
      <w:pPr>
        <w:spacing w:before="63" w:line="228" w:lineRule="auto"/>
        <w:ind w:left="121"/>
        <w:outlineLvl w:val="1"/>
        <w:rPr>
          <w:rFonts w:ascii="宋体" w:hAnsi="宋体" w:eastAsia="宋体" w:cs="宋体"/>
          <w:spacing w:val="9"/>
          <w:sz w:val="19"/>
          <w:szCs w:val="19"/>
        </w:rPr>
      </w:pPr>
      <w:r>
        <w:rPr>
          <w:rFonts w:ascii="宋体" w:hAnsi="宋体" w:eastAsia="宋体" w:cs="宋体"/>
          <w:spacing w:val="9"/>
          <w:sz w:val="19"/>
          <w:szCs w:val="19"/>
        </w:rPr>
        <w:t>8、承揽方认为应补充的其他资料</w:t>
      </w:r>
    </w:p>
    <w:p w14:paraId="707DB3B7">
      <w:pPr>
        <w:spacing w:before="63" w:line="228" w:lineRule="auto"/>
        <w:ind w:left="121"/>
        <w:outlineLvl w:val="1"/>
        <w:rPr>
          <w:rFonts w:ascii="宋体" w:hAnsi="宋体" w:eastAsia="宋体" w:cs="宋体"/>
          <w:spacing w:val="9"/>
          <w:sz w:val="19"/>
          <w:szCs w:val="19"/>
        </w:rPr>
      </w:pPr>
    </w:p>
    <w:p w14:paraId="1C78EE6F">
      <w:pPr>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br w:type="page"/>
      </w:r>
    </w:p>
    <w:p w14:paraId="4DA01E6C">
      <w:pPr>
        <w:spacing w:before="63" w:line="228" w:lineRule="auto"/>
        <w:ind w:left="121"/>
        <w:outlineLvl w:val="1"/>
        <w:rPr>
          <w:rFonts w:hint="eastAsia" w:ascii="宋体" w:hAnsi="宋体" w:eastAsia="宋体" w:cs="宋体"/>
          <w:spacing w:val="9"/>
          <w:sz w:val="19"/>
          <w:szCs w:val="19"/>
          <w:lang w:eastAsia="zh-CN"/>
        </w:rPr>
      </w:pPr>
      <w:r>
        <w:rPr>
          <w:rFonts w:hint="eastAsia" w:ascii="宋体" w:hAnsi="宋体" w:eastAsia="宋体" w:cs="宋体"/>
          <w:spacing w:val="9"/>
          <w:sz w:val="19"/>
          <w:szCs w:val="19"/>
          <w:lang w:val="en-US" w:eastAsia="zh-CN"/>
        </w:rPr>
        <w:t>9、</w:t>
      </w:r>
      <w:r>
        <w:rPr>
          <w:rFonts w:hint="eastAsia" w:ascii="宋体" w:hAnsi="宋体" w:eastAsia="宋体" w:cs="宋体"/>
          <w:spacing w:val="9"/>
          <w:sz w:val="19"/>
          <w:szCs w:val="19"/>
        </w:rPr>
        <w:t>技术部分</w:t>
      </w:r>
      <w:r>
        <w:rPr>
          <w:rFonts w:hint="eastAsia" w:ascii="宋体" w:hAnsi="宋体" w:eastAsia="宋体" w:cs="宋体"/>
          <w:spacing w:val="9"/>
          <w:sz w:val="19"/>
          <w:szCs w:val="19"/>
          <w:lang w:val="en-US" w:eastAsia="zh-CN"/>
        </w:rPr>
        <w:t>要求</w:t>
      </w:r>
    </w:p>
    <w:p w14:paraId="665D3DD8">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rPr>
        <w:t>应包含的内容：工作计划方案和研究方法</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报告编制</w:t>
      </w:r>
      <w:r>
        <w:rPr>
          <w:rFonts w:hint="eastAsia" w:ascii="宋体" w:hAnsi="宋体" w:eastAsia="宋体" w:cs="宋体"/>
          <w:spacing w:val="-1"/>
          <w:sz w:val="24"/>
          <w:szCs w:val="24"/>
          <w:lang w:val="en-US" w:eastAsia="zh-CN"/>
        </w:rPr>
        <w:t>进度计划说明、</w:t>
      </w:r>
      <w:r>
        <w:rPr>
          <w:rFonts w:hint="eastAsia" w:ascii="宋体" w:hAnsi="宋体" w:eastAsia="宋体" w:cs="宋体"/>
          <w:spacing w:val="-1"/>
          <w:sz w:val="24"/>
          <w:szCs w:val="24"/>
        </w:rPr>
        <w:t>技术</w:t>
      </w:r>
      <w:r>
        <w:rPr>
          <w:rFonts w:hint="eastAsia" w:ascii="宋体" w:hAnsi="宋体" w:eastAsia="宋体" w:cs="宋体"/>
          <w:spacing w:val="-1"/>
          <w:sz w:val="24"/>
          <w:szCs w:val="24"/>
          <w:lang w:val="en-US" w:eastAsia="zh-CN"/>
        </w:rPr>
        <w:t>保障</w:t>
      </w:r>
      <w:r>
        <w:rPr>
          <w:rFonts w:hint="eastAsia" w:ascii="宋体" w:hAnsi="宋体" w:eastAsia="宋体" w:cs="宋体"/>
          <w:spacing w:val="-1"/>
          <w:sz w:val="24"/>
          <w:szCs w:val="24"/>
        </w:rPr>
        <w:t>措施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质量</w:t>
      </w:r>
      <w:r>
        <w:rPr>
          <w:rFonts w:hint="eastAsia" w:ascii="宋体" w:hAnsi="宋体" w:eastAsia="宋体" w:cs="宋体"/>
          <w:spacing w:val="-1"/>
          <w:sz w:val="24"/>
          <w:szCs w:val="24"/>
          <w:lang w:val="en-US" w:eastAsia="zh-CN"/>
        </w:rPr>
        <w:t>保证措施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项目过程遇到的重难点及技术问题</w:t>
      </w:r>
      <w:r>
        <w:rPr>
          <w:rFonts w:hint="eastAsia" w:ascii="宋体" w:hAnsi="宋体" w:eastAsia="宋体" w:cs="宋体"/>
          <w:spacing w:val="-1"/>
          <w:sz w:val="24"/>
          <w:szCs w:val="24"/>
          <w:lang w:val="en-US" w:eastAsia="zh-CN"/>
        </w:rPr>
        <w:t>应对措施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合理化建议</w:t>
      </w:r>
      <w:r>
        <w:rPr>
          <w:rFonts w:hint="eastAsia" w:ascii="宋体" w:hAnsi="宋体" w:eastAsia="宋体" w:cs="宋体"/>
          <w:spacing w:val="-1"/>
          <w:sz w:val="24"/>
          <w:szCs w:val="24"/>
          <w:lang w:val="en-US" w:eastAsia="zh-CN"/>
        </w:rPr>
        <w:t>及其他投标人</w:t>
      </w:r>
      <w:r>
        <w:rPr>
          <w:rFonts w:hint="eastAsia" w:ascii="宋体" w:hAnsi="宋体" w:eastAsia="宋体" w:cs="宋体"/>
          <w:spacing w:val="-1"/>
          <w:sz w:val="24"/>
          <w:szCs w:val="24"/>
        </w:rPr>
        <w:t>需要补充的其他文件和说明。</w:t>
      </w:r>
    </w:p>
    <w:p w14:paraId="3801EFD9">
      <w:pPr>
        <w:spacing w:before="113" w:line="219" w:lineRule="auto"/>
        <w:ind w:left="282"/>
        <w:rPr>
          <w:rFonts w:ascii="宋体" w:hAnsi="宋体" w:eastAsia="宋体" w:cs="宋体"/>
          <w:spacing w:val="-1"/>
          <w:sz w:val="24"/>
          <w:szCs w:val="24"/>
        </w:rPr>
      </w:pPr>
      <w:r>
        <w:rPr>
          <w:rFonts w:hint="eastAsia" w:ascii="宋体" w:hAnsi="宋体" w:eastAsia="宋体" w:cs="宋体"/>
          <w:spacing w:val="-1"/>
          <w:sz w:val="24"/>
          <w:szCs w:val="24"/>
        </w:rPr>
        <w:t>注：以上内容由</w:t>
      </w:r>
      <w:r>
        <w:rPr>
          <w:rFonts w:hint="eastAsia" w:ascii="宋体" w:hAnsi="宋体" w:eastAsia="宋体" w:cs="宋体"/>
          <w:spacing w:val="-1"/>
          <w:sz w:val="24"/>
          <w:szCs w:val="24"/>
          <w:lang w:val="en-US" w:eastAsia="zh-CN"/>
        </w:rPr>
        <w:t>投标</w:t>
      </w:r>
      <w:r>
        <w:rPr>
          <w:rFonts w:hint="eastAsia" w:ascii="宋体" w:hAnsi="宋体" w:eastAsia="宋体" w:cs="宋体"/>
          <w:spacing w:val="-1"/>
          <w:sz w:val="24"/>
          <w:szCs w:val="24"/>
        </w:rPr>
        <w:t>单位自行编制，格式自拟</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作为技术评审依据</w:t>
      </w:r>
      <w:r>
        <w:rPr>
          <w:rFonts w:hint="eastAsia" w:ascii="宋体" w:hAnsi="宋体" w:eastAsia="宋体" w:cs="宋体"/>
          <w:spacing w:val="-1"/>
          <w:sz w:val="24"/>
          <w:szCs w:val="24"/>
        </w:rPr>
        <w:t>。</w:t>
      </w:r>
    </w:p>
    <w:sectPr>
      <w:footerReference r:id="rId23" w:type="default"/>
      <w:pgSz w:w="11906" w:h="16839"/>
      <w:pgMar w:top="1431" w:right="1029" w:bottom="1156" w:left="1687"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0509">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D5AF">
    <w:pPr>
      <w:spacing w:line="176"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60B3">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BD75">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1D6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2353">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AD50">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E444F">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04CA">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53C3">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DB6A">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6613">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5CA08">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B6A7C">
    <w:pPr>
      <w:spacing w:line="173" w:lineRule="auto"/>
      <w:ind w:left="485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B665">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31C9">
    <w:pPr>
      <w:spacing w:line="176" w:lineRule="auto"/>
      <w:ind w:left="42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4A1AE">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778A">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F4CB">
    <w:pPr>
      <w:spacing w:line="176" w:lineRule="auto"/>
      <w:ind w:left="4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E2NzA0YTUwOGJjODhkNjBkODYxY2ViMzBmYmM5NmYifQ=="/>
  </w:docVars>
  <w:rsids>
    <w:rsidRoot w:val="00000000"/>
    <w:rsid w:val="028B3ADB"/>
    <w:rsid w:val="064B56BF"/>
    <w:rsid w:val="0C0848DA"/>
    <w:rsid w:val="0CAF60D6"/>
    <w:rsid w:val="0DB905F3"/>
    <w:rsid w:val="11927E71"/>
    <w:rsid w:val="15B058D9"/>
    <w:rsid w:val="18E150AC"/>
    <w:rsid w:val="19740AE2"/>
    <w:rsid w:val="1CB15B83"/>
    <w:rsid w:val="1F932D70"/>
    <w:rsid w:val="22AF3548"/>
    <w:rsid w:val="22AF3FF6"/>
    <w:rsid w:val="25D507F2"/>
    <w:rsid w:val="274A3283"/>
    <w:rsid w:val="287A0D63"/>
    <w:rsid w:val="2A270CF7"/>
    <w:rsid w:val="2C7F51A8"/>
    <w:rsid w:val="2CA54D1A"/>
    <w:rsid w:val="2F98718A"/>
    <w:rsid w:val="35F1149A"/>
    <w:rsid w:val="382C624B"/>
    <w:rsid w:val="3AF22ED6"/>
    <w:rsid w:val="3B8D3AA3"/>
    <w:rsid w:val="3CC23C6F"/>
    <w:rsid w:val="3E073874"/>
    <w:rsid w:val="3FC5776D"/>
    <w:rsid w:val="40560924"/>
    <w:rsid w:val="420F4EE4"/>
    <w:rsid w:val="438C49C7"/>
    <w:rsid w:val="44FE7A9E"/>
    <w:rsid w:val="454749D3"/>
    <w:rsid w:val="468F61E4"/>
    <w:rsid w:val="46DB65F5"/>
    <w:rsid w:val="48B721DD"/>
    <w:rsid w:val="4DA14F15"/>
    <w:rsid w:val="50A907D5"/>
    <w:rsid w:val="51283A7E"/>
    <w:rsid w:val="547F654B"/>
    <w:rsid w:val="54E07BB6"/>
    <w:rsid w:val="586D26E5"/>
    <w:rsid w:val="5A405001"/>
    <w:rsid w:val="5E056651"/>
    <w:rsid w:val="5E26482D"/>
    <w:rsid w:val="5E4C2B8A"/>
    <w:rsid w:val="5E6E2FB3"/>
    <w:rsid w:val="616A29F0"/>
    <w:rsid w:val="662B3F8D"/>
    <w:rsid w:val="692A58E0"/>
    <w:rsid w:val="7162169D"/>
    <w:rsid w:val="717E1BCD"/>
    <w:rsid w:val="741828E2"/>
    <w:rsid w:val="78CB46DD"/>
    <w:rsid w:val="79C824DD"/>
    <w:rsid w:val="7D921C5C"/>
    <w:rsid w:val="7DC32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3">
    <w:name w:val="heading 3"/>
    <w:basedOn w:val="1"/>
    <w:next w:val="1"/>
    <w:link w:val="20"/>
    <w:qFormat/>
    <w:uiPriority w:val="0"/>
    <w:pPr>
      <w:keepNext/>
      <w:keepLines/>
      <w:spacing w:before="260" w:after="260" w:line="415" w:lineRule="auto"/>
      <w:outlineLvl w:val="2"/>
    </w:pPr>
    <w:rPr>
      <w:b/>
      <w:bCs/>
      <w:kern w:val="0"/>
      <w:sz w:val="32"/>
      <w:szCs w:val="32"/>
    </w:rPr>
  </w:style>
  <w:style w:type="paragraph" w:styleId="4">
    <w:name w:val="heading 4"/>
    <w:basedOn w:val="1"/>
    <w:next w:val="1"/>
    <w:qFormat/>
    <w:uiPriority w:val="0"/>
    <w:pPr>
      <w:keepNext/>
      <w:keepLines/>
      <w:widowControl w:val="0"/>
      <w:spacing w:before="280" w:after="290" w:line="374" w:lineRule="auto"/>
      <w:jc w:val="both"/>
      <w:outlineLvl w:val="3"/>
    </w:pPr>
    <w:rPr>
      <w:rFonts w:ascii="Arial" w:hAnsi="Arial" w:eastAsia="黑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Body Text First Indent 2"/>
    <w:basedOn w:val="6"/>
    <w:qFormat/>
    <w:uiPriority w:val="99"/>
    <w:pPr>
      <w:ind w:firstLine="420" w:firstLineChars="200"/>
    </w:p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二级"/>
    <w:basedOn w:val="14"/>
    <w:qFormat/>
    <w:uiPriority w:val="0"/>
    <w:pPr>
      <w:widowControl w:val="0"/>
      <w:tabs>
        <w:tab w:val="left" w:pos="851"/>
      </w:tabs>
      <w:spacing w:after="80" w:line="360" w:lineRule="auto"/>
      <w:ind w:left="851" w:hanging="851"/>
      <w:jc w:val="center"/>
      <w:outlineLvl w:val="3"/>
    </w:pPr>
    <w:rPr>
      <w:rFonts w:ascii="宋体" w:hAnsi="宋体" w:eastAsia="宋体"/>
      <w:sz w:val="28"/>
    </w:rPr>
  </w:style>
  <w:style w:type="paragraph" w:customStyle="1" w:styleId="14">
    <w:name w:val="A标题4"/>
    <w:basedOn w:val="4"/>
    <w:next w:val="1"/>
    <w:qFormat/>
    <w:uiPriority w:val="0"/>
    <w:pPr>
      <w:keepNext w:val="0"/>
      <w:keepLines w:val="0"/>
      <w:tabs>
        <w:tab w:val="left" w:pos="851"/>
      </w:tabs>
      <w:spacing w:before="0" w:after="80" w:line="360" w:lineRule="auto"/>
      <w:ind w:left="851" w:hanging="851"/>
    </w:pPr>
    <w:rPr>
      <w:sz w:val="24"/>
    </w:rPr>
  </w:style>
  <w:style w:type="paragraph" w:customStyle="1" w:styleId="15">
    <w:name w:val="样式1"/>
    <w:basedOn w:val="1"/>
    <w:next w:val="4"/>
    <w:qFormat/>
    <w:uiPriority w:val="0"/>
    <w:pPr>
      <w:widowControl w:val="0"/>
      <w:spacing w:line="360" w:lineRule="auto"/>
      <w:ind w:firstLine="420" w:firstLineChars="200"/>
      <w:jc w:val="both"/>
    </w:pPr>
    <w:rPr>
      <w:rFonts w:cs="Times New Roman"/>
      <w:kern w:val="2"/>
      <w:sz w:val="21"/>
      <w:szCs w:val="21"/>
    </w:rPr>
  </w:style>
  <w:style w:type="paragraph" w:customStyle="1" w:styleId="16">
    <w:name w:val="正文1"/>
    <w:basedOn w:val="1"/>
    <w:qFormat/>
    <w:uiPriority w:val="0"/>
    <w:pPr>
      <w:widowControl w:val="0"/>
      <w:jc w:val="both"/>
    </w:pPr>
    <w:rPr>
      <w:rFonts w:ascii="Times New Roman" w:hAnsi="Times New Roman" w:cs="Times New Roman"/>
      <w:sz w:val="20"/>
      <w:szCs w:val="20"/>
    </w:rPr>
  </w:style>
  <w:style w:type="paragraph" w:customStyle="1" w:styleId="17">
    <w:name w:val="p0"/>
    <w:basedOn w:val="1"/>
    <w:qFormat/>
    <w:uiPriority w:val="0"/>
    <w:pPr>
      <w:jc w:val="both"/>
    </w:pPr>
    <w:rPr>
      <w:rFonts w:ascii="Times New Roman" w:hAnsi="Times New Roman" w:cs="Times New Roman"/>
      <w:sz w:val="21"/>
      <w:szCs w:val="21"/>
    </w:rPr>
  </w:style>
  <w:style w:type="paragraph" w:customStyle="1" w:styleId="18">
    <w:name w:val="三级"/>
    <w:basedOn w:val="1"/>
    <w:qFormat/>
    <w:uiPriority w:val="0"/>
    <w:pPr>
      <w:tabs>
        <w:tab w:val="left" w:pos="851"/>
      </w:tabs>
      <w:spacing w:after="80" w:line="360" w:lineRule="auto"/>
      <w:ind w:left="851" w:hanging="851"/>
      <w:outlineLvl w:val="3"/>
    </w:pPr>
    <w:rPr>
      <w:rFonts w:ascii="宋体" w:hAnsi="宋体"/>
      <w:b/>
      <w:bCs/>
      <w:kern w:val="0"/>
      <w:sz w:val="24"/>
    </w:rPr>
  </w:style>
  <w:style w:type="paragraph" w:customStyle="1" w:styleId="19">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20">
    <w:name w:val="标题 3 Char"/>
    <w:link w:val="3"/>
    <w:qFormat/>
    <w:uiPriority w:val="99"/>
    <w:rPr>
      <w:b/>
      <w:bCs/>
      <w:kern w:val="0"/>
      <w:sz w:val="32"/>
      <w:szCs w:val="32"/>
    </w:rPr>
  </w:style>
  <w:style w:type="paragraph" w:customStyle="1" w:styleId="21">
    <w:name w:val="样式 标题 2 + Times New Roman 四号 非加粗 段前: 5 磅 段后: 0 磅 行距: 固定值 20..."/>
    <w:basedOn w:val="2"/>
    <w:qFormat/>
    <w:uiPriority w:val="99"/>
    <w:pPr>
      <w:spacing w:before="100" w:after="0" w:line="400" w:lineRule="exact"/>
    </w:pPr>
    <w:rPr>
      <w:rFonts w:ascii="Times New Roman" w:hAnsi="Times New Roman"/>
      <w:b w:val="0"/>
      <w:bCs w:val="0"/>
      <w:sz w:val="20"/>
      <w:szCs w:val="20"/>
    </w:rPr>
  </w:style>
  <w:style w:type="paragraph" w:customStyle="1" w:styleId="22">
    <w:name w:val="一级"/>
    <w:basedOn w:val="19"/>
    <w:qFormat/>
    <w:uiPriority w:val="0"/>
    <w:pPr>
      <w:widowControl w:val="0"/>
      <w:jc w:val="center"/>
      <w:outlineLvl w:val="0"/>
    </w:pPr>
    <w:rPr>
      <w:rFonts w:cs="Times New Roman"/>
      <w:b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1527</Words>
  <Characters>1710</Characters>
  <TotalTime>2</TotalTime>
  <ScaleCrop>false</ScaleCrop>
  <LinksUpToDate>false</LinksUpToDate>
  <CharactersWithSpaces>1754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2024-12-24T13:55:00Z</dcterms:created>
  <dc:creator>83790211</dc:creator>
  <cp:lastModifiedBy>史美伟</cp:lastModifiedBy>
  <dcterms:modified xsi:type="dcterms:W3CDTF">2025-11-17T03:23:19Z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2024-12-24T13:56:21Z</vt:filetime>
  </property>
  <property fmtid="{D5CDD505-2E9C-101B-9397-08002B2CF9AE}" pid="4" name="KSOProductBuildVer">
    <vt:lpwstr>2052-12.1.0.21915</vt:lpwstr>
  </property>
  <property fmtid="{D5CDD505-2E9C-101B-9397-08002B2CF9AE}" pid="5" name="ICV">
    <vt:lpwstr>E1C66997B1274705BE628DA17926FA60_12</vt:lpwstr>
  </property>
  <property fmtid="{D5CDD505-2E9C-101B-9397-08002B2CF9AE}" pid="6" name="KSOTemplateDocerSaveRecord">
    <vt:lpwstr>eyJoZGlkIjoiODZkNjExNWZlMWRjZGM0MmRiNTUzN2UxMjdjNWUyZWYiLCJ1c2VySWQiOiI1MTUxNzA1ODQifQ==</vt:lpwstr>
  </property>
</Properties>
</file>